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7B3" w:rsidRDefault="001807B3">
      <w:pPr>
        <w:pStyle w:val="ConsPlusTitlePage"/>
      </w:pPr>
      <w:r>
        <w:t xml:space="preserve">Документ предоставлен </w:t>
      </w:r>
      <w:hyperlink r:id="rId6">
        <w:r>
          <w:rPr>
            <w:color w:val="0000FF"/>
          </w:rPr>
          <w:t>КонсультантПлюс</w:t>
        </w:r>
      </w:hyperlink>
      <w:r>
        <w:br/>
      </w:r>
    </w:p>
    <w:p w:rsidR="001807B3" w:rsidRDefault="001807B3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80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07B3" w:rsidRDefault="001807B3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20.03.2026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</w:tr>
    </w:tbl>
    <w:p w:rsidR="001807B3" w:rsidRDefault="001807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80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07B3" w:rsidRDefault="001807B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807B3" w:rsidRDefault="001807B3">
            <w:pPr>
              <w:pStyle w:val="ConsPlusNormal"/>
              <w:jc w:val="both"/>
            </w:pPr>
            <w:r>
              <w:rPr>
                <w:color w:val="392C69"/>
              </w:rPr>
              <w:t>Материал подходит для применения в автономных учреждениях с учетом примечаний по тексту.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</w:tr>
    </w:tbl>
    <w:p w:rsidR="001807B3" w:rsidRDefault="001807B3">
      <w:pPr>
        <w:pStyle w:val="ConsPlusNormal"/>
        <w:spacing w:before="480"/>
      </w:pPr>
      <w:r>
        <w:rPr>
          <w:b/>
          <w:sz w:val="38"/>
        </w:rPr>
        <w:t>Как с 1 апреля 2026 г. заполнить поля платежного поручения на уплату налогов, страховых взносов и сборов в налоговый орган</w:t>
      </w:r>
    </w:p>
    <w:p w:rsidR="001807B3" w:rsidRDefault="001807B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80"/>
        <w:gridCol w:w="8935"/>
        <w:gridCol w:w="180"/>
      </w:tblGrid>
      <w:tr w:rsidR="00180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E9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807B3" w:rsidRDefault="001807B3">
            <w:pPr>
              <w:pStyle w:val="ConsPlusNormal"/>
              <w:jc w:val="both"/>
            </w:pPr>
            <w:hyperlink r:id="rId7">
              <w:r>
                <w:rPr>
                  <w:color w:val="0000FF"/>
                </w:rPr>
                <w:t>В общем случае</w:t>
              </w:r>
            </w:hyperlink>
            <w:r>
              <w:t xml:space="preserve"> платежи в налоговый орган надо уплачивать посредством ЕНП. Платежное поручение заполнить просто: во многих полях нужно указать 0 (ноль).</w:t>
            </w:r>
          </w:p>
          <w:p w:rsidR="001807B3" w:rsidRDefault="001807B3">
            <w:pPr>
              <w:pStyle w:val="ConsPlusNormal"/>
              <w:jc w:val="both"/>
            </w:pPr>
            <w:r>
              <w:t xml:space="preserve">Посредством ЕНП нельзя платить, в частности, фиксированный авансовый платеж по НДФЛ с иностранцев, работающих по патенту, и госпошлину (кроме той, в отношении которой арбитражный суд выдал исполнительный документ). Платежки по ним надо заполнить с учетом особенностей заполнения полей, в которых указывают статус плательщика, КПП, КБК и код по </w:t>
            </w:r>
            <w:hyperlink r:id="rId8">
              <w:r>
                <w:rPr>
                  <w:color w:val="0000FF"/>
                </w:rPr>
                <w:t>ОКТМО</w:t>
              </w:r>
            </w:hyperlink>
            <w:r>
              <w:t>.</w:t>
            </w:r>
          </w:p>
          <w:p w:rsidR="001807B3" w:rsidRDefault="001807B3">
            <w:pPr>
              <w:pStyle w:val="ConsPlusNormal"/>
              <w:jc w:val="both"/>
            </w:pPr>
            <w:r>
              <w:t>Ряд платежей можно вносить как посредством ЕНП, так и не в качестве ЕНП.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</w:tr>
    </w:tbl>
    <w:p w:rsidR="001807B3" w:rsidRDefault="001807B3">
      <w:pPr>
        <w:pStyle w:val="ConsPlusNormal"/>
        <w:spacing w:before="400"/>
        <w:jc w:val="both"/>
      </w:pPr>
    </w:p>
    <w:p w:rsidR="001807B3" w:rsidRDefault="001807B3">
      <w:pPr>
        <w:pStyle w:val="ConsPlusNormal"/>
      </w:pPr>
      <w:r>
        <w:rPr>
          <w:b/>
          <w:sz w:val="32"/>
        </w:rPr>
        <w:t>Оглавление:</w:t>
      </w:r>
    </w:p>
    <w:p w:rsidR="001807B3" w:rsidRDefault="001807B3">
      <w:pPr>
        <w:pStyle w:val="ConsPlusNormal"/>
        <w:spacing w:before="340"/>
        <w:ind w:left="180"/>
      </w:pPr>
      <w:r>
        <w:t xml:space="preserve">1. </w:t>
      </w:r>
      <w:hyperlink w:anchor="P15">
        <w:r>
          <w:rPr>
            <w:color w:val="0000FF"/>
          </w:rPr>
          <w:t>Общие правила заполнения платежного поручения на уплату налогов, взносов и сборов посредством ЕНП</w:t>
        </w:r>
      </w:hyperlink>
    </w:p>
    <w:p w:rsidR="001807B3" w:rsidRDefault="001807B3">
      <w:pPr>
        <w:pStyle w:val="ConsPlusNormal"/>
        <w:ind w:left="180"/>
      </w:pPr>
      <w:r>
        <w:t xml:space="preserve">2. </w:t>
      </w:r>
      <w:hyperlink w:anchor="P112">
        <w:r>
          <w:rPr>
            <w:color w:val="0000FF"/>
          </w:rPr>
          <w:t>Особенности заполнения платежного поручения на перечисление налогов и сборов не в качестве ЕНП</w:t>
        </w:r>
      </w:hyperlink>
    </w:p>
    <w:p w:rsidR="001807B3" w:rsidRDefault="001807B3">
      <w:pPr>
        <w:pStyle w:val="ConsPlusNormal"/>
        <w:ind w:left="180"/>
      </w:pPr>
      <w:r>
        <w:t xml:space="preserve">3. </w:t>
      </w:r>
      <w:hyperlink w:anchor="P129">
        <w:r>
          <w:rPr>
            <w:color w:val="0000FF"/>
          </w:rPr>
          <w:t>Как заполнить платежное поручение на уплату налогов, взносов и сборов за третье лицо</w:t>
        </w:r>
      </w:hyperlink>
    </w:p>
    <w:p w:rsidR="001807B3" w:rsidRDefault="001807B3">
      <w:pPr>
        <w:pStyle w:val="ConsPlusNormal"/>
        <w:spacing w:before="400"/>
        <w:jc w:val="both"/>
      </w:pPr>
    </w:p>
    <w:p w:rsidR="001807B3" w:rsidRDefault="001807B3">
      <w:pPr>
        <w:pStyle w:val="ConsPlusNormal"/>
        <w:outlineLvl w:val="0"/>
      </w:pPr>
      <w:bookmarkStart w:id="0" w:name="P15"/>
      <w:bookmarkEnd w:id="0"/>
      <w:r>
        <w:rPr>
          <w:b/>
          <w:sz w:val="32"/>
        </w:rPr>
        <w:t>1. Общие правила заполнения платежного поручения на уплату налогов,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t xml:space="preserve">Правила заполнения платежного поручения предусмотрены в </w:t>
      </w:r>
      <w:hyperlink r:id="rId9">
        <w:r>
          <w:rPr>
            <w:color w:val="0000FF"/>
          </w:rPr>
          <w:t>Приложениях N N 1</w:t>
        </w:r>
      </w:hyperlink>
      <w:r>
        <w:t xml:space="preserve"> и </w:t>
      </w:r>
      <w:hyperlink r:id="rId10">
        <w:r>
          <w:rPr>
            <w:color w:val="0000FF"/>
          </w:rPr>
          <w:t>2</w:t>
        </w:r>
      </w:hyperlink>
      <w:r>
        <w:t xml:space="preserve"> к Приказу Минфина России от 16.05.2025 N 58н и </w:t>
      </w:r>
      <w:hyperlink r:id="rId11">
        <w:r>
          <w:rPr>
            <w:color w:val="0000FF"/>
          </w:rPr>
          <w:t>Приложении 1</w:t>
        </w:r>
      </w:hyperlink>
      <w:r>
        <w:t xml:space="preserve"> к Положению Банка России от 29.06.2021 N 762-П.</w:t>
      </w:r>
    </w:p>
    <w:p w:rsidR="001807B3" w:rsidRDefault="001807B3">
      <w:pPr>
        <w:pStyle w:val="ConsPlusNormal"/>
        <w:spacing w:before="220"/>
        <w:jc w:val="both"/>
      </w:pPr>
      <w:r>
        <w:t>В платежном поручении укажите:</w:t>
      </w:r>
    </w:p>
    <w:p w:rsidR="001807B3" w:rsidRDefault="001807B3">
      <w:pPr>
        <w:pStyle w:val="ConsPlusNormal"/>
        <w:numPr>
          <w:ilvl w:val="0"/>
          <w:numId w:val="1"/>
        </w:numPr>
        <w:spacing w:before="220"/>
        <w:jc w:val="both"/>
      </w:pPr>
      <w:r>
        <w:t xml:space="preserve">его порядковый номер </w:t>
      </w:r>
      <w:hyperlink r:id="rId12">
        <w:r>
          <w:rPr>
            <w:color w:val="0000FF"/>
          </w:rPr>
          <w:t>(поле 3)</w:t>
        </w:r>
      </w:hyperlink>
      <w:r>
        <w:t xml:space="preserve"> и дату составления </w:t>
      </w:r>
      <w:hyperlink r:id="rId13">
        <w:r>
          <w:rPr>
            <w:color w:val="0000FF"/>
          </w:rPr>
          <w:t>(поле 4)</w:t>
        </w:r>
      </w:hyperlink>
      <w:r>
        <w:t xml:space="preserve"> цифрами, например "15.01.2026";</w:t>
      </w:r>
    </w:p>
    <w:p w:rsidR="001807B3" w:rsidRDefault="001807B3">
      <w:pPr>
        <w:pStyle w:val="ConsPlusNormal"/>
        <w:numPr>
          <w:ilvl w:val="0"/>
          <w:numId w:val="1"/>
        </w:numPr>
        <w:spacing w:before="220"/>
        <w:jc w:val="both"/>
      </w:pPr>
      <w:r>
        <w:t xml:space="preserve">информацию о </w:t>
      </w:r>
      <w:hyperlink w:anchor="P38">
        <w:r>
          <w:rPr>
            <w:color w:val="0000FF"/>
          </w:rPr>
          <w:t>плательщике</w:t>
        </w:r>
      </w:hyperlink>
      <w:r>
        <w:t xml:space="preserve"> и </w:t>
      </w:r>
      <w:hyperlink w:anchor="P72">
        <w:r>
          <w:rPr>
            <w:color w:val="0000FF"/>
          </w:rPr>
          <w:t>получателе</w:t>
        </w:r>
      </w:hyperlink>
      <w:r>
        <w:t xml:space="preserve"> платежа, </w:t>
      </w:r>
      <w:hyperlink w:anchor="P86">
        <w:r>
          <w:rPr>
            <w:color w:val="0000FF"/>
          </w:rPr>
          <w:t>сведения</w:t>
        </w:r>
      </w:hyperlink>
      <w:r>
        <w:t xml:space="preserve"> о платеже.</w:t>
      </w:r>
    </w:p>
    <w:p w:rsidR="001807B3" w:rsidRDefault="001807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80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07B3" w:rsidRDefault="001807B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807B3" w:rsidRDefault="001807B3">
            <w:pPr>
              <w:pStyle w:val="ConsPlusNormal"/>
              <w:jc w:val="both"/>
            </w:pPr>
            <w:r>
              <w:rPr>
                <w:b/>
                <w:color w:val="392C69"/>
              </w:rPr>
              <w:t>Для учреждений:</w:t>
            </w:r>
          </w:p>
          <w:p w:rsidR="001807B3" w:rsidRDefault="001807B3">
            <w:pPr>
              <w:pStyle w:val="ConsPlusNormal"/>
              <w:jc w:val="both"/>
            </w:pPr>
            <w:r>
              <w:rPr>
                <w:color w:val="392C69"/>
              </w:rPr>
              <w:t xml:space="preserve">Учреждение должно иметь </w:t>
            </w:r>
            <w:hyperlink r:id="rId14">
              <w:r>
                <w:rPr>
                  <w:color w:val="0000FF"/>
                </w:rPr>
                <w:t>печать</w:t>
              </w:r>
            </w:hyperlink>
            <w:r>
              <w:rPr>
                <w:color w:val="392C69"/>
              </w:rPr>
              <w:t xml:space="preserve">, поэтому при заполнении бумажной платежки обязательно проставьте ее оттиск в </w:t>
            </w:r>
            <w:hyperlink r:id="rId15">
              <w:r>
                <w:rPr>
                  <w:color w:val="0000FF"/>
                </w:rPr>
                <w:t>поле 43</w:t>
              </w:r>
            </w:hyperlink>
            <w:r>
              <w:rPr>
                <w:color w:val="392C69"/>
              </w:rPr>
              <w:t xml:space="preserve"> (</w:t>
            </w:r>
            <w:hyperlink r:id="rId16">
              <w:r>
                <w:rPr>
                  <w:color w:val="0000FF"/>
                </w:rPr>
                <w:t>п. 1.2 ст. 9.1</w:t>
              </w:r>
            </w:hyperlink>
            <w:r>
              <w:rPr>
                <w:color w:val="392C69"/>
              </w:rPr>
              <w:t xml:space="preserve"> Закона о некоммерческих организациях, </w:t>
            </w:r>
            <w:hyperlink r:id="rId17">
              <w:r>
                <w:rPr>
                  <w:color w:val="0000FF"/>
                </w:rPr>
                <w:t>Приложение 1</w:t>
              </w:r>
            </w:hyperlink>
            <w:r>
              <w:rPr>
                <w:color w:val="392C69"/>
              </w:rPr>
              <w:t xml:space="preserve"> к Положению Банка России от 29.06.2021 N 762-П).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</w:tr>
    </w:tbl>
    <w:p w:rsidR="001807B3" w:rsidRDefault="001807B3">
      <w:pPr>
        <w:pStyle w:val="ConsPlusNormal"/>
        <w:spacing w:before="280"/>
        <w:jc w:val="both"/>
      </w:pPr>
      <w:r>
        <w:t xml:space="preserve">В бумажной платежке проставьте подписи уполномоченных лиц организации или ИП </w:t>
      </w:r>
      <w:hyperlink r:id="rId18">
        <w:r>
          <w:rPr>
            <w:color w:val="0000FF"/>
          </w:rPr>
          <w:t>(поле 44)</w:t>
        </w:r>
      </w:hyperlink>
      <w:r>
        <w:t xml:space="preserve"> и печать, если она есть </w:t>
      </w:r>
      <w:hyperlink r:id="rId19">
        <w:r>
          <w:rPr>
            <w:color w:val="0000FF"/>
          </w:rPr>
          <w:t>(поле 43)</w:t>
        </w:r>
      </w:hyperlink>
      <w:r>
        <w:t>.</w:t>
      </w:r>
    </w:p>
    <w:p w:rsidR="001807B3" w:rsidRDefault="001807B3">
      <w:pPr>
        <w:pStyle w:val="ConsPlusNormal"/>
        <w:spacing w:before="220"/>
        <w:jc w:val="both"/>
      </w:pPr>
      <w:hyperlink r:id="rId20">
        <w:r>
          <w:rPr>
            <w:color w:val="0000FF"/>
          </w:rPr>
          <w:t>Поля 45</w:t>
        </w:r>
      </w:hyperlink>
      <w:r>
        <w:t xml:space="preserve">, </w:t>
      </w:r>
      <w:hyperlink r:id="rId21">
        <w:r>
          <w:rPr>
            <w:color w:val="0000FF"/>
          </w:rPr>
          <w:t>62</w:t>
        </w:r>
      </w:hyperlink>
      <w:r>
        <w:t xml:space="preserve">, </w:t>
      </w:r>
      <w:hyperlink r:id="rId22">
        <w:r>
          <w:rPr>
            <w:color w:val="0000FF"/>
          </w:rPr>
          <w:t>71</w:t>
        </w:r>
      </w:hyperlink>
      <w:r>
        <w:t xml:space="preserve"> оставьте пустыми - их заполнит сотрудник банка.</w:t>
      </w:r>
    </w:p>
    <w:p w:rsidR="001807B3" w:rsidRDefault="001807B3">
      <w:pPr>
        <w:pStyle w:val="ConsPlusNormal"/>
        <w:spacing w:before="220"/>
        <w:jc w:val="both"/>
      </w:pPr>
      <w:r>
        <w:t>При уплате налогов за третье лицо есть особенности указания сведений о плательщике и платеже.</w:t>
      </w:r>
    </w:p>
    <w:p w:rsidR="001807B3" w:rsidRDefault="001807B3">
      <w:pPr>
        <w:pStyle w:val="ConsPlusNormal"/>
        <w:spacing w:before="220"/>
        <w:jc w:val="both"/>
      </w:pPr>
      <w:r>
        <w:t xml:space="preserve">Рекомендуем внимательно заполнять платежные поручения, поскольку уточнение платежей </w:t>
      </w:r>
      <w:hyperlink r:id="rId23">
        <w:r>
          <w:rPr>
            <w:color w:val="0000FF"/>
          </w:rPr>
          <w:t>НК</w:t>
        </w:r>
      </w:hyperlink>
      <w:r>
        <w:t xml:space="preserve"> РФ не предусмотрено.</w:t>
      </w: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80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07B3" w:rsidRDefault="001807B3">
            <w:pPr>
              <w:pStyle w:val="ConsPlusNormal"/>
              <w:jc w:val="both"/>
            </w:pPr>
            <w:r>
              <w:rPr>
                <w:b/>
                <w:color w:val="392C69"/>
              </w:rPr>
              <w:t>Для учреждений:</w:t>
            </w:r>
          </w:p>
          <w:p w:rsidR="001807B3" w:rsidRDefault="001807B3">
            <w:pPr>
              <w:pStyle w:val="ConsPlusNormal"/>
              <w:spacing w:after="1"/>
            </w:pP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0"/>
              <w:gridCol w:w="420"/>
              <w:gridCol w:w="8289"/>
              <w:gridCol w:w="180"/>
            </w:tblGrid>
            <w:tr w:rsidR="001807B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807B3" w:rsidRDefault="001807B3">
                  <w:pPr>
                    <w:pStyle w:val="ConsPlusNormal"/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</w:tcPr>
                <w:p w:rsidR="001807B3" w:rsidRDefault="001807B3">
                  <w:pPr>
                    <w:pStyle w:val="ConsPlusNormal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2400" cy="152400"/>
                        <wp:effectExtent l="0" t="0" r="0" b="0"/>
                        <wp:docPr id="1" name="Консультант Плюс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 preferRelativeResize="0"/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80" w:type="dxa"/>
                    <w:left w:w="0" w:type="dxa"/>
                    <w:bottom w:w="180" w:type="dxa"/>
                    <w:right w:w="0" w:type="dxa"/>
                  </w:tcMar>
                </w:tcPr>
                <w:p w:rsidR="001807B3" w:rsidRDefault="001807B3">
                  <w:pPr>
                    <w:pStyle w:val="ConsPlusNormal"/>
                    <w:jc w:val="both"/>
                  </w:pPr>
                  <w:r>
                    <w:t>См. также:</w:t>
                  </w:r>
                </w:p>
                <w:p w:rsidR="001807B3" w:rsidRDefault="001807B3">
                  <w:pPr>
                    <w:pStyle w:val="ConsPlusNormal"/>
                    <w:numPr>
                      <w:ilvl w:val="0"/>
                      <w:numId w:val="2"/>
                    </w:numPr>
                    <w:jc w:val="both"/>
                  </w:pPr>
                  <w:hyperlink r:id="rId25">
                    <w:r>
                      <w:rPr>
                        <w:color w:val="0000FF"/>
                      </w:rPr>
                      <w:t>Как организации платят налоги, сборы и страховые взносы</w:t>
                    </w:r>
                  </w:hyperlink>
                </w:p>
                <w:p w:rsidR="001807B3" w:rsidRDefault="001807B3">
                  <w:pPr>
                    <w:pStyle w:val="ConsPlusNormal"/>
                    <w:numPr>
                      <w:ilvl w:val="0"/>
                      <w:numId w:val="2"/>
                    </w:numPr>
                    <w:jc w:val="both"/>
                  </w:pPr>
                  <w:hyperlink r:id="rId26">
                    <w:r>
                      <w:rPr>
                        <w:color w:val="0000FF"/>
                      </w:rPr>
                      <w:t>Как с 1 апреля 2026 г. заполнить платежное поручение на уплату страховых взносов на травматизм, пеней и штрафов по ним</w:t>
                    </w:r>
                  </w:hyperlink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807B3" w:rsidRDefault="001807B3">
                  <w:pPr>
                    <w:pStyle w:val="ConsPlusNormal"/>
                  </w:pPr>
                </w:p>
              </w:tc>
            </w:tr>
          </w:tbl>
          <w:p w:rsidR="001807B3" w:rsidRDefault="001807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</w:tr>
    </w:tbl>
    <w:p w:rsidR="001807B3" w:rsidRDefault="001807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8575"/>
        <w:gridCol w:w="180"/>
      </w:tblGrid>
      <w:tr w:rsidR="001807B3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807B3" w:rsidRDefault="001807B3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807B3" w:rsidRDefault="001807B3">
            <w:pPr>
              <w:pStyle w:val="ConsPlusNormal"/>
              <w:jc w:val="both"/>
            </w:pPr>
            <w:r>
              <w:t>См. также:</w:t>
            </w:r>
          </w:p>
          <w:p w:rsidR="001807B3" w:rsidRDefault="001807B3">
            <w:pPr>
              <w:pStyle w:val="ConsPlusNormal"/>
              <w:numPr>
                <w:ilvl w:val="0"/>
                <w:numId w:val="3"/>
              </w:numPr>
              <w:jc w:val="both"/>
            </w:pPr>
            <w:hyperlink r:id="rId27">
              <w:r>
                <w:rPr>
                  <w:color w:val="0000FF"/>
                </w:rPr>
                <w:t>Какие налоги, сборы, страховые взносы организации уплачивают посредством ЕНП</w:t>
              </w:r>
            </w:hyperlink>
          </w:p>
          <w:p w:rsidR="001807B3" w:rsidRDefault="001807B3">
            <w:pPr>
              <w:pStyle w:val="ConsPlusNormal"/>
              <w:numPr>
                <w:ilvl w:val="0"/>
                <w:numId w:val="3"/>
              </w:numPr>
              <w:jc w:val="both"/>
            </w:pPr>
            <w:hyperlink r:id="rId28">
              <w:r>
                <w:rPr>
                  <w:color w:val="0000FF"/>
                </w:rPr>
                <w:t>Какие налоги, страховые взносы, сборы ИП уплачивает посредством ЕНП</w:t>
              </w:r>
            </w:hyperlink>
          </w:p>
          <w:p w:rsidR="001807B3" w:rsidRDefault="001807B3">
            <w:pPr>
              <w:pStyle w:val="ConsPlusNormal"/>
              <w:numPr>
                <w:ilvl w:val="0"/>
                <w:numId w:val="3"/>
              </w:numPr>
              <w:jc w:val="both"/>
            </w:pPr>
            <w:hyperlink r:id="rId29">
              <w:r>
                <w:rPr>
                  <w:color w:val="0000FF"/>
                </w:rPr>
                <w:t>Как с 1 апреля 2026 г. заполнить платежное поручение на уплату страховых взносов на травматизм, пеней и штрафов по ним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7B3" w:rsidRDefault="001807B3">
            <w:pPr>
              <w:pStyle w:val="ConsPlusNormal"/>
            </w:pPr>
          </w:p>
        </w:tc>
      </w:tr>
    </w:tbl>
    <w:p w:rsidR="001807B3" w:rsidRDefault="001807B3">
      <w:pPr>
        <w:pStyle w:val="ConsPlusNormal"/>
        <w:spacing w:before="320"/>
        <w:jc w:val="both"/>
      </w:pPr>
    </w:p>
    <w:p w:rsidR="001807B3" w:rsidRDefault="001807B3">
      <w:pPr>
        <w:pStyle w:val="ConsPlusNormal"/>
        <w:outlineLvl w:val="1"/>
      </w:pPr>
      <w:bookmarkStart w:id="1" w:name="P38"/>
      <w:bookmarkEnd w:id="1"/>
      <w:r>
        <w:rPr>
          <w:b/>
          <w:sz w:val="26"/>
        </w:rPr>
        <w:t>1.1. Как указать плательщика и его банковские реквизиты в платежном поручении на уплату налогов,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t xml:space="preserve">Информацию о плательщике налога и его банковские реквизиты указывают в </w:t>
      </w:r>
      <w:hyperlink r:id="rId30">
        <w:r>
          <w:rPr>
            <w:color w:val="0000FF"/>
          </w:rPr>
          <w:t>полях 8</w:t>
        </w:r>
      </w:hyperlink>
      <w:r>
        <w:t xml:space="preserve"> - </w:t>
      </w:r>
      <w:hyperlink r:id="rId31">
        <w:r>
          <w:rPr>
            <w:color w:val="0000FF"/>
          </w:rPr>
          <w:t>12</w:t>
        </w:r>
      </w:hyperlink>
      <w:r>
        <w:t xml:space="preserve">, </w:t>
      </w:r>
      <w:hyperlink r:id="rId32">
        <w:r>
          <w:rPr>
            <w:color w:val="0000FF"/>
          </w:rPr>
          <w:t>60</w:t>
        </w:r>
      </w:hyperlink>
      <w:r>
        <w:t xml:space="preserve">, </w:t>
      </w:r>
      <w:hyperlink r:id="rId33">
        <w:r>
          <w:rPr>
            <w:color w:val="0000FF"/>
          </w:rPr>
          <w:t>101</w:t>
        </w:r>
      </w:hyperlink>
      <w:r>
        <w:t xml:space="preserve">, </w:t>
      </w:r>
      <w:hyperlink r:id="rId34">
        <w:r>
          <w:rPr>
            <w:color w:val="0000FF"/>
          </w:rPr>
          <w:t>102</w:t>
        </w:r>
      </w:hyperlink>
      <w:r>
        <w:t>.</w:t>
      </w:r>
    </w:p>
    <w:p w:rsidR="001807B3" w:rsidRDefault="001807B3">
      <w:pPr>
        <w:pStyle w:val="ConsPlusNormal"/>
        <w:spacing w:before="220"/>
        <w:jc w:val="both"/>
      </w:pPr>
      <w:r>
        <w:t>Организации и ИП указывают эти сведения по-разному.</w:t>
      </w:r>
    </w:p>
    <w:p w:rsidR="001807B3" w:rsidRDefault="001807B3">
      <w:pPr>
        <w:pStyle w:val="ConsPlusNormal"/>
        <w:spacing w:before="220"/>
        <w:jc w:val="both"/>
      </w:pPr>
      <w:r>
        <w:t>Плательщики-организации отражают (</w:t>
      </w:r>
      <w:hyperlink r:id="rId35">
        <w:r>
          <w:rPr>
            <w:color w:val="0000FF"/>
          </w:rPr>
          <w:t>п. п. 1</w:t>
        </w:r>
      </w:hyperlink>
      <w:r>
        <w:t xml:space="preserve"> - </w:t>
      </w:r>
      <w:hyperlink r:id="rId36">
        <w:r>
          <w:rPr>
            <w:color w:val="0000FF"/>
          </w:rPr>
          <w:t>3</w:t>
        </w:r>
      </w:hyperlink>
      <w:r>
        <w:t xml:space="preserve"> Приложения N 1, </w:t>
      </w:r>
      <w:hyperlink r:id="rId37">
        <w:r>
          <w:rPr>
            <w:color w:val="0000FF"/>
          </w:rPr>
          <w:t>п. п. 33.1</w:t>
        </w:r>
      </w:hyperlink>
      <w:r>
        <w:t xml:space="preserve"> - </w:t>
      </w:r>
      <w:hyperlink r:id="rId38">
        <w:r>
          <w:rPr>
            <w:color w:val="0000FF"/>
          </w:rPr>
          <w:t>33.3</w:t>
        </w:r>
      </w:hyperlink>
      <w:r>
        <w:t xml:space="preserve"> Приложения N 2 к Приказу Минфина России от 16.05.2025 N 58н):</w:t>
      </w:r>
    </w:p>
    <w:p w:rsidR="001807B3" w:rsidRDefault="001807B3">
      <w:pPr>
        <w:pStyle w:val="ConsPlusNormal"/>
        <w:numPr>
          <w:ilvl w:val="0"/>
          <w:numId w:val="4"/>
        </w:numPr>
        <w:spacing w:before="220"/>
        <w:jc w:val="both"/>
      </w:pPr>
      <w:r>
        <w:t xml:space="preserve">в </w:t>
      </w:r>
      <w:hyperlink r:id="rId39">
        <w:r>
          <w:rPr>
            <w:color w:val="0000FF"/>
          </w:rPr>
          <w:t>поле 8</w:t>
        </w:r>
      </w:hyperlink>
      <w:r>
        <w:t xml:space="preserve"> - название организации (обособленного подразделения);</w:t>
      </w:r>
    </w:p>
    <w:p w:rsidR="001807B3" w:rsidRDefault="001807B3">
      <w:pPr>
        <w:pStyle w:val="ConsPlusNormal"/>
        <w:numPr>
          <w:ilvl w:val="0"/>
          <w:numId w:val="4"/>
        </w:numPr>
        <w:spacing w:before="220"/>
        <w:jc w:val="both"/>
      </w:pPr>
      <w:r>
        <w:t xml:space="preserve">в </w:t>
      </w:r>
      <w:hyperlink r:id="rId40">
        <w:r>
          <w:rPr>
            <w:color w:val="0000FF"/>
          </w:rPr>
          <w:t>поле 60</w:t>
        </w:r>
      </w:hyperlink>
      <w:r>
        <w:t xml:space="preserve"> - </w:t>
      </w:r>
      <w:proofErr w:type="gramStart"/>
      <w:r>
        <w:t>свой</w:t>
      </w:r>
      <w:proofErr w:type="gramEnd"/>
      <w:r>
        <w:t xml:space="preserve"> ИНН;</w:t>
      </w:r>
    </w:p>
    <w:p w:rsidR="001807B3" w:rsidRDefault="001807B3">
      <w:pPr>
        <w:pStyle w:val="ConsPlusNormal"/>
        <w:numPr>
          <w:ilvl w:val="0"/>
          <w:numId w:val="4"/>
        </w:numPr>
        <w:spacing w:before="220"/>
        <w:jc w:val="both"/>
      </w:pPr>
      <w:r>
        <w:t xml:space="preserve">в </w:t>
      </w:r>
      <w:hyperlink r:id="rId41">
        <w:r>
          <w:rPr>
            <w:color w:val="0000FF"/>
          </w:rPr>
          <w:t>поле 102</w:t>
        </w:r>
      </w:hyperlink>
      <w:r>
        <w:t xml:space="preserve"> - </w:t>
      </w:r>
      <w:hyperlink w:anchor="P59">
        <w:r>
          <w:rPr>
            <w:color w:val="0000FF"/>
          </w:rPr>
          <w:t>"0" (ноль) либо КПП</w:t>
        </w:r>
      </w:hyperlink>
      <w:r>
        <w:t>.</w:t>
      </w:r>
    </w:p>
    <w:p w:rsidR="001807B3" w:rsidRDefault="001807B3">
      <w:pPr>
        <w:pStyle w:val="ConsPlusNormal"/>
        <w:spacing w:before="220"/>
        <w:jc w:val="both"/>
      </w:pPr>
      <w:r>
        <w:t>Плательщики-ИП указывают (</w:t>
      </w:r>
      <w:hyperlink r:id="rId42">
        <w:r>
          <w:rPr>
            <w:color w:val="0000FF"/>
          </w:rPr>
          <w:t>п. п. 1</w:t>
        </w:r>
      </w:hyperlink>
      <w:r>
        <w:t xml:space="preserve"> - </w:t>
      </w:r>
      <w:hyperlink r:id="rId43">
        <w:r>
          <w:rPr>
            <w:color w:val="0000FF"/>
          </w:rPr>
          <w:t>3</w:t>
        </w:r>
      </w:hyperlink>
      <w:r>
        <w:t xml:space="preserve"> Приложения N 1, </w:t>
      </w:r>
      <w:hyperlink r:id="rId44">
        <w:r>
          <w:rPr>
            <w:color w:val="0000FF"/>
          </w:rPr>
          <w:t>п. п. 33.1</w:t>
        </w:r>
      </w:hyperlink>
      <w:r>
        <w:t xml:space="preserve"> - </w:t>
      </w:r>
      <w:hyperlink r:id="rId45">
        <w:r>
          <w:rPr>
            <w:color w:val="0000FF"/>
          </w:rPr>
          <w:t>33.3</w:t>
        </w:r>
      </w:hyperlink>
      <w:r>
        <w:t xml:space="preserve"> Приложения N 2 к Приказу Минфина России от 16.05.2025 N 58н):</w:t>
      </w:r>
    </w:p>
    <w:p w:rsidR="001807B3" w:rsidRDefault="001807B3">
      <w:pPr>
        <w:pStyle w:val="ConsPlusNormal"/>
        <w:numPr>
          <w:ilvl w:val="0"/>
          <w:numId w:val="5"/>
        </w:numPr>
        <w:spacing w:before="220"/>
        <w:jc w:val="both"/>
      </w:pPr>
      <w:r>
        <w:lastRenderedPageBreak/>
        <w:t xml:space="preserve">в </w:t>
      </w:r>
      <w:hyperlink r:id="rId46">
        <w:r>
          <w:rPr>
            <w:color w:val="0000FF"/>
          </w:rPr>
          <w:t>поле 8</w:t>
        </w:r>
      </w:hyperlink>
      <w:r>
        <w:t xml:space="preserve"> - фамилию, имя, отчество (при наличии) и в скобках (ИП);</w:t>
      </w:r>
    </w:p>
    <w:p w:rsidR="001807B3" w:rsidRDefault="001807B3">
      <w:pPr>
        <w:pStyle w:val="ConsPlusNormal"/>
        <w:numPr>
          <w:ilvl w:val="0"/>
          <w:numId w:val="5"/>
        </w:numPr>
        <w:spacing w:before="220"/>
        <w:jc w:val="both"/>
      </w:pPr>
      <w:r>
        <w:t xml:space="preserve">в </w:t>
      </w:r>
      <w:hyperlink r:id="rId47">
        <w:r>
          <w:rPr>
            <w:color w:val="0000FF"/>
          </w:rPr>
          <w:t>поле 60</w:t>
        </w:r>
      </w:hyperlink>
      <w:r>
        <w:t xml:space="preserve"> - ИНН предпринимателя;</w:t>
      </w:r>
    </w:p>
    <w:p w:rsidR="001807B3" w:rsidRDefault="001807B3">
      <w:pPr>
        <w:pStyle w:val="ConsPlusNormal"/>
        <w:numPr>
          <w:ilvl w:val="0"/>
          <w:numId w:val="5"/>
        </w:numPr>
        <w:spacing w:before="220"/>
        <w:jc w:val="both"/>
      </w:pPr>
      <w:r>
        <w:t xml:space="preserve">в </w:t>
      </w:r>
      <w:hyperlink r:id="rId48">
        <w:r>
          <w:rPr>
            <w:color w:val="0000FF"/>
          </w:rPr>
          <w:t>поле 102</w:t>
        </w:r>
      </w:hyperlink>
      <w:r>
        <w:t xml:space="preserve"> - "0" (ноль).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 xml:space="preserve">В </w:t>
      </w:r>
      <w:hyperlink r:id="rId49">
        <w:r>
          <w:rPr>
            <w:b/>
            <w:color w:val="0000FF"/>
          </w:rPr>
          <w:t>поле 101</w:t>
        </w:r>
      </w:hyperlink>
      <w:r>
        <w:rPr>
          <w:b/>
        </w:rPr>
        <w:t xml:space="preserve"> "Статус плательщика" платежного поручения на уплату ЕНП организации и ИП указывают код </w:t>
      </w:r>
      <w:hyperlink r:id="rId50">
        <w:r>
          <w:rPr>
            <w:b/>
            <w:color w:val="0000FF"/>
          </w:rPr>
          <w:t>"01</w:t>
        </w:r>
      </w:hyperlink>
      <w:hyperlink r:id="rId51">
        <w:r>
          <w:rPr>
            <w:color w:val="0000FF"/>
          </w:rPr>
          <w:t>"</w:t>
        </w:r>
      </w:hyperlink>
      <w:r>
        <w:t xml:space="preserve"> (</w:t>
      </w:r>
      <w:hyperlink r:id="rId52">
        <w:r>
          <w:rPr>
            <w:color w:val="0000FF"/>
          </w:rPr>
          <w:t>п. 33.13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>Банковские реквизиты плательщика</w:t>
      </w:r>
      <w:r>
        <w:t xml:space="preserve"> отразите так (</w:t>
      </w:r>
      <w:hyperlink r:id="rId53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762-П):</w:t>
      </w:r>
    </w:p>
    <w:p w:rsidR="001807B3" w:rsidRDefault="001807B3">
      <w:pPr>
        <w:pStyle w:val="ConsPlusNormal"/>
        <w:numPr>
          <w:ilvl w:val="0"/>
          <w:numId w:val="6"/>
        </w:numPr>
        <w:spacing w:before="220"/>
        <w:jc w:val="both"/>
      </w:pPr>
      <w:r>
        <w:t xml:space="preserve">в </w:t>
      </w:r>
      <w:hyperlink r:id="rId54">
        <w:r>
          <w:rPr>
            <w:color w:val="0000FF"/>
          </w:rPr>
          <w:t>поле 9</w:t>
        </w:r>
      </w:hyperlink>
      <w:r>
        <w:t xml:space="preserve"> - номер вашего счета в банке;</w:t>
      </w:r>
    </w:p>
    <w:p w:rsidR="001807B3" w:rsidRDefault="001807B3">
      <w:pPr>
        <w:pStyle w:val="ConsPlusNormal"/>
        <w:numPr>
          <w:ilvl w:val="0"/>
          <w:numId w:val="6"/>
        </w:numPr>
        <w:spacing w:before="220"/>
        <w:jc w:val="both"/>
      </w:pPr>
      <w:r>
        <w:t xml:space="preserve">в </w:t>
      </w:r>
      <w:hyperlink r:id="rId55">
        <w:r>
          <w:rPr>
            <w:color w:val="0000FF"/>
          </w:rPr>
          <w:t>поле 10</w:t>
        </w:r>
      </w:hyperlink>
      <w:r>
        <w:t xml:space="preserve"> - наименование и место нахождения банка (для платежек на бумаге). В электронной платежке </w:t>
      </w:r>
      <w:hyperlink r:id="rId56">
        <w:r>
          <w:rPr>
            <w:color w:val="0000FF"/>
          </w:rPr>
          <w:t>поле</w:t>
        </w:r>
      </w:hyperlink>
      <w:r>
        <w:t xml:space="preserve"> заполнится автоматически;</w:t>
      </w:r>
    </w:p>
    <w:p w:rsidR="001807B3" w:rsidRDefault="001807B3">
      <w:pPr>
        <w:pStyle w:val="ConsPlusNormal"/>
        <w:numPr>
          <w:ilvl w:val="0"/>
          <w:numId w:val="6"/>
        </w:numPr>
        <w:spacing w:before="220"/>
        <w:jc w:val="both"/>
      </w:pPr>
      <w:r>
        <w:t xml:space="preserve">в </w:t>
      </w:r>
      <w:hyperlink r:id="rId57">
        <w:r>
          <w:rPr>
            <w:color w:val="0000FF"/>
          </w:rPr>
          <w:t>поле 11</w:t>
        </w:r>
      </w:hyperlink>
      <w:r>
        <w:t xml:space="preserve"> - БИК банка;</w:t>
      </w:r>
    </w:p>
    <w:p w:rsidR="001807B3" w:rsidRDefault="001807B3">
      <w:pPr>
        <w:pStyle w:val="ConsPlusNormal"/>
        <w:numPr>
          <w:ilvl w:val="0"/>
          <w:numId w:val="6"/>
        </w:numPr>
        <w:spacing w:before="220"/>
        <w:jc w:val="both"/>
      </w:pPr>
      <w:r>
        <w:t xml:space="preserve">в </w:t>
      </w:r>
      <w:hyperlink r:id="rId58">
        <w:r>
          <w:rPr>
            <w:color w:val="0000FF"/>
          </w:rPr>
          <w:t>поле 12</w:t>
        </w:r>
      </w:hyperlink>
      <w:r>
        <w:t xml:space="preserve"> - номер его корреспондентского счета.</w:t>
      </w:r>
    </w:p>
    <w:p w:rsidR="001807B3" w:rsidRDefault="001807B3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4"/>
      </w:tblGrid>
      <w:tr w:rsidR="001807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1807B3" w:rsidRDefault="001807B3">
            <w:pPr>
              <w:pStyle w:val="ConsPlusNormal"/>
              <w:jc w:val="both"/>
            </w:pPr>
            <w:bookmarkStart w:id="2" w:name="P56"/>
            <w:bookmarkEnd w:id="2"/>
            <w:r>
              <w:rPr>
                <w:u w:val="single"/>
              </w:rPr>
              <w:t>В каких случаях в платежном поручении указывается код статуса плательщика "01"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hyperlink r:id="rId59">
              <w:r>
                <w:rPr>
                  <w:color w:val="0000FF"/>
                </w:rPr>
                <w:t>Код статуса плательщика</w:t>
              </w:r>
            </w:hyperlink>
            <w:r>
              <w:t xml:space="preserve"> "01" указывается в </w:t>
            </w:r>
            <w:hyperlink r:id="rId60">
              <w:r>
                <w:rPr>
                  <w:color w:val="0000FF"/>
                </w:rPr>
                <w:t>поле 101</w:t>
              </w:r>
            </w:hyperlink>
            <w:r>
              <w:t xml:space="preserve"> платежного поручения на уплату ЕНП, а также при перечислении иных платежей в налоговые органы. Исключение: иностранные организации, не стоящие на учете в российских инспекциях и не имеющие ИНН, при уплате иных платежей в налоговые органы указывают код "13" (</w:t>
            </w:r>
            <w:hyperlink r:id="rId61">
              <w:r>
                <w:rPr>
                  <w:color w:val="0000FF"/>
                </w:rPr>
                <w:t>п. п. 33.13</w:t>
              </w:r>
            </w:hyperlink>
            <w:r>
              <w:t xml:space="preserve">, </w:t>
            </w:r>
            <w:hyperlink r:id="rId62">
              <w:r>
                <w:rPr>
                  <w:color w:val="0000FF"/>
                </w:rPr>
                <w:t>34.13</w:t>
              </w:r>
            </w:hyperlink>
            <w:r>
              <w:t xml:space="preserve"> Приложения N 2 к Приказу Минфина России от 16.05.2025 N 58н).</w:t>
            </w:r>
          </w:p>
        </w:tc>
      </w:tr>
    </w:tbl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2"/>
      </w:pPr>
      <w:bookmarkStart w:id="3" w:name="P59"/>
      <w:bookmarkEnd w:id="3"/>
      <w:r>
        <w:rPr>
          <w:b/>
        </w:rPr>
        <w:t>1.1.1. Как заполнить поле 102 "КПП" в платежном поручении на уплату налогов,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t xml:space="preserve">Организации в </w:t>
      </w:r>
      <w:hyperlink r:id="rId63">
        <w:r>
          <w:rPr>
            <w:color w:val="0000FF"/>
          </w:rPr>
          <w:t>поле 102</w:t>
        </w:r>
      </w:hyperlink>
      <w:r>
        <w:t xml:space="preserve"> "КПП" при заполнении платежного поручения на уплату ЕНП ставят "0". Исключение: иностранные организации, ведущие деятельность в РФ через несколько обособленных подразделений, указывают КПП этих подразделений (</w:t>
      </w:r>
      <w:hyperlink r:id="rId64">
        <w:r>
          <w:rPr>
            <w:color w:val="0000FF"/>
          </w:rPr>
          <w:t>п. 3</w:t>
        </w:r>
      </w:hyperlink>
      <w:r>
        <w:t xml:space="preserve"> Приложения N 1, </w:t>
      </w:r>
      <w:hyperlink r:id="rId65">
        <w:r>
          <w:rPr>
            <w:color w:val="0000FF"/>
          </w:rPr>
          <w:t>п. 33.2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spacing w:before="220"/>
        <w:jc w:val="both"/>
      </w:pPr>
      <w:r>
        <w:t xml:space="preserve">ИП в </w:t>
      </w:r>
      <w:hyperlink r:id="rId66">
        <w:r>
          <w:rPr>
            <w:color w:val="0000FF"/>
          </w:rPr>
          <w:t>поле 102</w:t>
        </w:r>
      </w:hyperlink>
      <w:r>
        <w:t xml:space="preserve"> всегда указывают "0" (</w:t>
      </w:r>
      <w:hyperlink r:id="rId67">
        <w:r>
          <w:rPr>
            <w:color w:val="0000FF"/>
          </w:rPr>
          <w:t>п. 3</w:t>
        </w:r>
      </w:hyperlink>
      <w:r>
        <w:t xml:space="preserve"> Приложения N 1 к Приказу Минфина России от 16.05.2025 N 58н).</w:t>
      </w:r>
    </w:p>
    <w:p w:rsidR="001807B3" w:rsidRDefault="001807B3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4"/>
      </w:tblGrid>
      <w:tr w:rsidR="001807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1807B3" w:rsidRDefault="001807B3">
            <w:pPr>
              <w:pStyle w:val="ConsPlusNormal"/>
              <w:jc w:val="both"/>
            </w:pPr>
            <w:bookmarkStart w:id="4" w:name="P63"/>
            <w:bookmarkEnd w:id="4"/>
            <w:r>
              <w:rPr>
                <w:u w:val="single"/>
              </w:rPr>
              <w:t>Какой КПП указывать головной организации в платежном поручении на уплату налогов (сборов, взносов) за обособленное подразделение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 xml:space="preserve">В </w:t>
            </w:r>
            <w:hyperlink r:id="rId68">
              <w:r>
                <w:rPr>
                  <w:color w:val="0000FF"/>
                </w:rPr>
                <w:t>поле 102</w:t>
              </w:r>
            </w:hyperlink>
            <w:r>
              <w:t xml:space="preserve"> "КПП" платежного поручения на перечисление ЕНП за обособленное подразделение указывается "0". Исключение: иностранные организации, ведущие деятельность в РФ через несколько обособленных подразделений, указывают КПП этих подразделений (</w:t>
            </w:r>
            <w:hyperlink r:id="rId69">
              <w:r>
                <w:rPr>
                  <w:color w:val="0000FF"/>
                </w:rPr>
                <w:t>п. 3</w:t>
              </w:r>
            </w:hyperlink>
            <w:r>
              <w:t xml:space="preserve"> Приложения N 1, </w:t>
            </w:r>
            <w:hyperlink r:id="rId70">
              <w:r>
                <w:rPr>
                  <w:color w:val="0000FF"/>
                </w:rPr>
                <w:t>п. 33.2</w:t>
              </w:r>
            </w:hyperlink>
            <w:r>
              <w:t xml:space="preserve"> Приложения N 2 к Приказу Минфина России от 16.05.2025 N 58н).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 xml:space="preserve">Если перечисляете платеж не посредством ЕНП, приведите в </w:t>
            </w:r>
            <w:hyperlink r:id="rId71">
              <w:r>
                <w:rPr>
                  <w:color w:val="0000FF"/>
                </w:rPr>
                <w:t>поле 102</w:t>
              </w:r>
            </w:hyperlink>
            <w:r>
              <w:t xml:space="preserve"> КПП обособленного подразделения (</w:t>
            </w:r>
            <w:hyperlink r:id="rId72">
              <w:r>
                <w:rPr>
                  <w:color w:val="0000FF"/>
                </w:rPr>
                <w:t>п. 9</w:t>
              </w:r>
            </w:hyperlink>
            <w:r>
              <w:t xml:space="preserve"> Приложения N 1, </w:t>
            </w:r>
            <w:hyperlink r:id="rId73">
              <w:r>
                <w:rPr>
                  <w:color w:val="0000FF"/>
                </w:rPr>
                <w:t>п. 34.2</w:t>
              </w:r>
            </w:hyperlink>
            <w:r>
              <w:t xml:space="preserve"> Приложения N 2 к Приказу Минфина России от 16.05.2025 N 58н).</w:t>
            </w:r>
          </w:p>
        </w:tc>
      </w:tr>
    </w:tbl>
    <w:p w:rsidR="001807B3" w:rsidRDefault="001807B3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4"/>
      </w:tblGrid>
      <w:tr w:rsidR="001807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1807B3" w:rsidRDefault="001807B3">
            <w:pPr>
              <w:pStyle w:val="ConsPlusNormal"/>
              <w:jc w:val="both"/>
            </w:pPr>
            <w:bookmarkStart w:id="5" w:name="P67"/>
            <w:bookmarkEnd w:id="5"/>
            <w:r>
              <w:rPr>
                <w:u w:val="single"/>
              </w:rPr>
              <w:lastRenderedPageBreak/>
              <w:t>Чем грозит ошибка в КПП плательщика в платежном поручении на перечисление налогов (сборов, взносов)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>Полагаем, что такая ошибка не влечет негативных последствий, потому что не препятствует поступлению сре</w:t>
            </w:r>
            <w:proofErr w:type="gramStart"/>
            <w:r>
              <w:t>дств в б</w:t>
            </w:r>
            <w:proofErr w:type="gramEnd"/>
            <w:r>
              <w:t>юджет. Для этого остальные реквизиты плательщика должны быть заполнены правильно, чтобы его можно было идентифицировать.</w:t>
            </w:r>
          </w:p>
        </w:tc>
      </w:tr>
    </w:tbl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jc w:val="both"/>
      </w:pPr>
      <w:r>
        <w:t xml:space="preserve">Напомним, что при уплате налогов в </w:t>
      </w:r>
      <w:hyperlink r:id="rId74">
        <w:r>
          <w:rPr>
            <w:color w:val="0000FF"/>
          </w:rPr>
          <w:t>поле 102</w:t>
        </w:r>
      </w:hyperlink>
      <w:r>
        <w:t xml:space="preserve"> в большинстве случаев проставляется "0" (</w:t>
      </w:r>
      <w:hyperlink r:id="rId75">
        <w:r>
          <w:rPr>
            <w:color w:val="0000FF"/>
          </w:rPr>
          <w:t>п. 33.2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1"/>
      </w:pPr>
      <w:bookmarkStart w:id="6" w:name="P72"/>
      <w:bookmarkEnd w:id="6"/>
      <w:r>
        <w:rPr>
          <w:b/>
          <w:sz w:val="26"/>
        </w:rPr>
        <w:t>1.2. Какие реквизиты получателя и его банка указать в платежном поручении на уплату налогов,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>Реквизиты получателя в платежном поручении на уплату налогов</w:t>
      </w:r>
      <w:r>
        <w:t xml:space="preserve">, страховых взносов и сборов в налоговый орган едины для всех и не зависят от того, перечисляется платеж как ЕНП или нет. Налогоплательщики г. Байконур </w:t>
      </w:r>
      <w:hyperlink r:id="rId76">
        <w:r>
          <w:rPr>
            <w:color w:val="0000FF"/>
          </w:rPr>
          <w:t>перечисляют</w:t>
        </w:r>
      </w:hyperlink>
      <w:r>
        <w:t xml:space="preserve"> платежи, администрируемые налоговыми органами, также на счет, открытый Управлению Федерального казначейства по </w:t>
      </w:r>
      <w:proofErr w:type="gramStart"/>
      <w:r>
        <w:t>Тульской</w:t>
      </w:r>
      <w:proofErr w:type="gramEnd"/>
      <w:r>
        <w:t xml:space="preserve"> обл.</w:t>
      </w:r>
    </w:p>
    <w:p w:rsidR="001807B3" w:rsidRDefault="001807B3">
      <w:pPr>
        <w:pStyle w:val="ConsPlusNormal"/>
        <w:spacing w:before="220"/>
        <w:jc w:val="both"/>
      </w:pPr>
      <w:r>
        <w:t xml:space="preserve">Полагаем, Письма ФНС России, Казначейства России, выпущенные в 2022 - 2023 гг., в которых приведены единые реквизиты, сохраняют актуальность и после вступления в силу </w:t>
      </w:r>
      <w:hyperlink r:id="rId77">
        <w:r>
          <w:rPr>
            <w:color w:val="0000FF"/>
          </w:rPr>
          <w:t>Приказа</w:t>
        </w:r>
      </w:hyperlink>
      <w:r>
        <w:t xml:space="preserve"> Минфина России от 16.05.2025 N 58н, так как не противоречат его положениям. При этом КПП получателя и наименование его банка нужно указывать в соответствии с </w:t>
      </w:r>
      <w:hyperlink r:id="rId78">
        <w:r>
          <w:rPr>
            <w:color w:val="0000FF"/>
          </w:rPr>
          <w:t>Информацией</w:t>
        </w:r>
      </w:hyperlink>
      <w:r>
        <w:t xml:space="preserve">, представленной ФНС России и </w:t>
      </w:r>
      <w:hyperlink r:id="rId79">
        <w:r>
          <w:rPr>
            <w:color w:val="0000FF"/>
          </w:rPr>
          <w:t>Письмом</w:t>
        </w:r>
      </w:hyperlink>
      <w:r>
        <w:t xml:space="preserve"> Казначейства России от 10.10.2025 N 07-04-05/03-29299.</w:t>
      </w:r>
    </w:p>
    <w:p w:rsidR="001807B3" w:rsidRDefault="001807B3">
      <w:pPr>
        <w:pStyle w:val="ConsPlusNormal"/>
        <w:spacing w:before="220"/>
        <w:jc w:val="both"/>
      </w:pPr>
      <w:proofErr w:type="gramStart"/>
      <w:r>
        <w:t>При перечислении налогов, взносов и сборов в налоговый орган по единым реквизитам укажите (</w:t>
      </w:r>
      <w:hyperlink r:id="rId80">
        <w:r>
          <w:rPr>
            <w:color w:val="0000FF"/>
          </w:rPr>
          <w:t>п. п. 12</w:t>
        </w:r>
      </w:hyperlink>
      <w:r>
        <w:t xml:space="preserve"> - </w:t>
      </w:r>
      <w:hyperlink r:id="rId81">
        <w:r>
          <w:rPr>
            <w:color w:val="0000FF"/>
          </w:rPr>
          <w:t>14</w:t>
        </w:r>
      </w:hyperlink>
      <w:r>
        <w:t xml:space="preserve"> Приложения N 1, </w:t>
      </w:r>
      <w:hyperlink r:id="rId82">
        <w:r>
          <w:rPr>
            <w:color w:val="0000FF"/>
          </w:rPr>
          <w:t>п. п. 33.8</w:t>
        </w:r>
      </w:hyperlink>
      <w:r>
        <w:t xml:space="preserve"> - </w:t>
      </w:r>
      <w:hyperlink r:id="rId83">
        <w:r>
          <w:rPr>
            <w:color w:val="0000FF"/>
          </w:rPr>
          <w:t>33.10</w:t>
        </w:r>
      </w:hyperlink>
      <w:r>
        <w:t xml:space="preserve"> Приложения N 2 к Приказу Минфина России от 16.05.2025 N 58н, </w:t>
      </w:r>
      <w:hyperlink r:id="rId84">
        <w:r>
          <w:rPr>
            <w:color w:val="0000FF"/>
          </w:rPr>
          <w:t>Письмо</w:t>
        </w:r>
      </w:hyperlink>
      <w:r>
        <w:t xml:space="preserve"> ФНС России от 06.02.2023 N ЗГ-3-8/1441@, </w:t>
      </w:r>
      <w:hyperlink r:id="rId85">
        <w:r>
          <w:rPr>
            <w:color w:val="0000FF"/>
          </w:rPr>
          <w:t>Письмо</w:t>
        </w:r>
      </w:hyperlink>
      <w:r>
        <w:t xml:space="preserve"> ФНС России N ЕД-26-8/8@, Казначейства России N 07-04-05/05-12658 от 15.05.2023, </w:t>
      </w:r>
      <w:hyperlink r:id="rId86">
        <w:r>
          <w:rPr>
            <w:color w:val="0000FF"/>
          </w:rPr>
          <w:t>Письмо</w:t>
        </w:r>
      </w:hyperlink>
      <w:r>
        <w:t xml:space="preserve"> Казначейства России от</w:t>
      </w:r>
      <w:proofErr w:type="gramEnd"/>
      <w:r>
        <w:t xml:space="preserve"> </w:t>
      </w:r>
      <w:proofErr w:type="gramStart"/>
      <w:r>
        <w:t xml:space="preserve">10.10.2025 N 07-04-05/03-29299, Информация об </w:t>
      </w:r>
      <w:hyperlink r:id="rId87">
        <w:r>
          <w:rPr>
            <w:color w:val="0000FF"/>
          </w:rPr>
          <w:t>актуальных реквизитах</w:t>
        </w:r>
      </w:hyperlink>
      <w:r>
        <w:t xml:space="preserve"> получателя, представленная ФНС России):</w:t>
      </w:r>
      <w:proofErr w:type="gramEnd"/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88">
        <w:r>
          <w:rPr>
            <w:color w:val="0000FF"/>
          </w:rPr>
          <w:t>поле 16</w:t>
        </w:r>
      </w:hyperlink>
      <w:r>
        <w:t xml:space="preserve"> - "Казначейство России (ФНС России)";</w:t>
      </w:r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89">
        <w:r>
          <w:rPr>
            <w:color w:val="0000FF"/>
          </w:rPr>
          <w:t>поле 61</w:t>
        </w:r>
      </w:hyperlink>
      <w:r>
        <w:t xml:space="preserve"> - ИНН получателя "7727406020";</w:t>
      </w:r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90">
        <w:r>
          <w:rPr>
            <w:color w:val="0000FF"/>
          </w:rPr>
          <w:t>поле 103</w:t>
        </w:r>
      </w:hyperlink>
      <w:r>
        <w:t xml:space="preserve"> - КПП получателя "770701001";</w:t>
      </w:r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91">
        <w:r>
          <w:rPr>
            <w:color w:val="0000FF"/>
          </w:rPr>
          <w:t>поле 13</w:t>
        </w:r>
      </w:hyperlink>
      <w:r>
        <w:t xml:space="preserve"> - наименование и местонахождение банка получателя "ОКЦ N 7 ГУ Банка России по ЦФО// УФК по Тульской области" (для платежек на бумаге). В электронной платежке </w:t>
      </w:r>
      <w:hyperlink r:id="rId92">
        <w:r>
          <w:rPr>
            <w:color w:val="0000FF"/>
          </w:rPr>
          <w:t>поле</w:t>
        </w:r>
      </w:hyperlink>
      <w:r>
        <w:t xml:space="preserve"> заполнится автоматически, когда вы будете вносить БИК банка получателя;</w:t>
      </w:r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93">
        <w:r>
          <w:rPr>
            <w:color w:val="0000FF"/>
          </w:rPr>
          <w:t>поле 14</w:t>
        </w:r>
      </w:hyperlink>
      <w:r>
        <w:t xml:space="preserve"> - БИК банка получателя "017003983";</w:t>
      </w:r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94">
        <w:r>
          <w:rPr>
            <w:color w:val="0000FF"/>
          </w:rPr>
          <w:t>поле 15</w:t>
        </w:r>
      </w:hyperlink>
      <w:r>
        <w:t xml:space="preserve"> - номер счета банка получателя средств "40102810445370000059";</w:t>
      </w:r>
    </w:p>
    <w:p w:rsidR="001807B3" w:rsidRDefault="001807B3">
      <w:pPr>
        <w:pStyle w:val="ConsPlusNormal"/>
        <w:numPr>
          <w:ilvl w:val="0"/>
          <w:numId w:val="7"/>
        </w:numPr>
        <w:spacing w:before="220"/>
        <w:jc w:val="both"/>
      </w:pPr>
      <w:r>
        <w:t xml:space="preserve">в </w:t>
      </w:r>
      <w:hyperlink r:id="rId95">
        <w:r>
          <w:rPr>
            <w:color w:val="0000FF"/>
          </w:rPr>
          <w:t>поле 17</w:t>
        </w:r>
      </w:hyperlink>
      <w:r>
        <w:t xml:space="preserve"> - номер счета получателя "03100643000000018500".</w:t>
      </w:r>
    </w:p>
    <w:p w:rsidR="001807B3" w:rsidRDefault="001807B3">
      <w:pPr>
        <w:pStyle w:val="ConsPlusNormal"/>
        <w:spacing w:before="220"/>
        <w:jc w:val="both"/>
      </w:pPr>
      <w:r>
        <w:t>Если при заполнении платежки вы неправильно укажете номер счета Федерального казначейства или наименование банка получателя, платеж может не поступить в бюджет. Тогда вы не исполните обязанность по уплате налога (</w:t>
      </w:r>
      <w:hyperlink r:id="rId96">
        <w:r>
          <w:rPr>
            <w:color w:val="0000FF"/>
          </w:rPr>
          <w:t>пп. 4 п. 13 ст. 45</w:t>
        </w:r>
      </w:hyperlink>
      <w:r>
        <w:t xml:space="preserve"> НК РФ). Это может привести к начислению штрафа и пеней.</w:t>
      </w:r>
    </w:p>
    <w:p w:rsidR="001807B3" w:rsidRDefault="001807B3">
      <w:pPr>
        <w:pStyle w:val="ConsPlusNormal"/>
        <w:spacing w:before="220"/>
        <w:jc w:val="both"/>
      </w:pPr>
      <w:r>
        <w:t xml:space="preserve">Если вы правильно укажете реквизиты получателя средств (в том </w:t>
      </w:r>
      <w:proofErr w:type="gramStart"/>
      <w:r>
        <w:t>числе</w:t>
      </w:r>
      <w:proofErr w:type="gramEnd"/>
      <w:r>
        <w:t xml:space="preserve"> его банка) и свой ИНН, средства поступят на ваш ЕНС и распределятся по налогам и бюджетам, соответствующим месту </w:t>
      </w:r>
      <w:r>
        <w:lastRenderedPageBreak/>
        <w:t>вашей регистрации или ведения деятельности (</w:t>
      </w:r>
      <w:hyperlink r:id="rId97">
        <w:r>
          <w:rPr>
            <w:color w:val="0000FF"/>
          </w:rPr>
          <w:t>Письмо</w:t>
        </w:r>
      </w:hyperlink>
      <w:r>
        <w:t xml:space="preserve"> ФНС России от 06.02.2023 N ЗГ-3-8/1441@).</w:t>
      </w: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1"/>
      </w:pPr>
      <w:bookmarkStart w:id="7" w:name="P86"/>
      <w:bookmarkEnd w:id="7"/>
      <w:r>
        <w:rPr>
          <w:b/>
          <w:sz w:val="26"/>
        </w:rPr>
        <w:t>1.3. Как указать данные о платеже в платежном поручении на уплату налогов,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t>В общем случае сведения отражайте следующим образом (</w:t>
      </w:r>
      <w:hyperlink r:id="rId98">
        <w:r>
          <w:rPr>
            <w:color w:val="0000FF"/>
          </w:rPr>
          <w:t>Приложение N 2</w:t>
        </w:r>
      </w:hyperlink>
      <w:r>
        <w:t xml:space="preserve"> к Приказу Минфина России от 16.05.2025 N 58н, </w:t>
      </w:r>
      <w:hyperlink r:id="rId99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hyperlink r:id="rId100">
        <w:r>
          <w:rPr>
            <w:b/>
            <w:color w:val="0000FF"/>
          </w:rPr>
          <w:t>Поле 5</w:t>
        </w:r>
      </w:hyperlink>
      <w:r>
        <w:rPr>
          <w:b/>
        </w:rPr>
        <w:t xml:space="preserve"> "Вид платежа"</w:t>
      </w:r>
      <w:r>
        <w:t xml:space="preserve"> заполняется в порядке, установленном банком. Если порядок не установлен, оставьте </w:t>
      </w:r>
      <w:hyperlink r:id="rId101">
        <w:r>
          <w:rPr>
            <w:color w:val="0000FF"/>
          </w:rPr>
          <w:t>поле</w:t>
        </w:r>
      </w:hyperlink>
      <w:r>
        <w:t xml:space="preserve"> пустым (</w:t>
      </w:r>
      <w:hyperlink r:id="rId102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hyperlink r:id="rId103">
        <w:r>
          <w:rPr>
            <w:b/>
            <w:color w:val="0000FF"/>
          </w:rPr>
          <w:t>Поле 6</w:t>
        </w:r>
      </w:hyperlink>
      <w:r>
        <w:rPr>
          <w:b/>
        </w:rPr>
        <w:t xml:space="preserve"> заполняйте в платежном поручении на бумаге</w:t>
      </w:r>
      <w:r>
        <w:t>. Сумму в полных рублях укажите прописью с заглавной буквы, копейки - цифрами. Слова "рубль" и "копейка" (в соответствующем числе и падеже) не сокращайте, например "Пять тысяч сто пятьдесят рублей 50 копеек". Если перечисляете сумму без копеек, можете их не указывать (</w:t>
      </w:r>
      <w:hyperlink r:id="rId104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 xml:space="preserve">В </w:t>
      </w:r>
      <w:hyperlink r:id="rId105">
        <w:r>
          <w:rPr>
            <w:b/>
            <w:color w:val="0000FF"/>
          </w:rPr>
          <w:t>поле 7</w:t>
        </w:r>
      </w:hyperlink>
      <w:r>
        <w:rPr>
          <w:b/>
        </w:rPr>
        <w:t xml:space="preserve"> покажите сумму платежа цифрами</w:t>
      </w:r>
      <w:r>
        <w:t>. В бумажном платежном поручении между рублями и копейками поставьте знак "</w:t>
      </w:r>
      <w:proofErr w:type="gramStart"/>
      <w:r>
        <w:t>-"</w:t>
      </w:r>
      <w:proofErr w:type="gramEnd"/>
      <w:r>
        <w:t xml:space="preserve"> (тире), например "5150-00". Если в </w:t>
      </w:r>
      <w:hyperlink r:id="rId106">
        <w:r>
          <w:rPr>
            <w:color w:val="0000FF"/>
          </w:rPr>
          <w:t>поле 6</w:t>
        </w:r>
      </w:hyperlink>
      <w:r>
        <w:t xml:space="preserve"> вы указали сумму без копеек, то в </w:t>
      </w:r>
      <w:hyperlink r:id="rId107">
        <w:r>
          <w:rPr>
            <w:color w:val="0000FF"/>
          </w:rPr>
          <w:t>поле 7</w:t>
        </w:r>
      </w:hyperlink>
      <w:r>
        <w:t xml:space="preserve"> после суммы поставьте знак "=" (равно), например "5150=" (</w:t>
      </w:r>
      <w:hyperlink r:id="rId108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 xml:space="preserve">В </w:t>
      </w:r>
      <w:hyperlink r:id="rId109">
        <w:r>
          <w:rPr>
            <w:b/>
            <w:color w:val="0000FF"/>
          </w:rPr>
          <w:t>поле 18</w:t>
        </w:r>
      </w:hyperlink>
      <w:r>
        <w:rPr>
          <w:b/>
        </w:rPr>
        <w:t xml:space="preserve"> отразите шифр платежного поручения</w:t>
      </w:r>
      <w:r>
        <w:t xml:space="preserve"> - "01" (</w:t>
      </w:r>
      <w:hyperlink r:id="rId110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 xml:space="preserve">В </w:t>
      </w:r>
      <w:hyperlink r:id="rId111">
        <w:r>
          <w:rPr>
            <w:b/>
            <w:color w:val="0000FF"/>
          </w:rPr>
          <w:t>поле 21</w:t>
        </w:r>
      </w:hyperlink>
      <w:r>
        <w:rPr>
          <w:b/>
        </w:rPr>
        <w:t xml:space="preserve"> укажите очередность платежа</w:t>
      </w:r>
      <w:r>
        <w:t xml:space="preserve"> при перечислении ЕНП - "5" (</w:t>
      </w:r>
      <w:hyperlink r:id="rId112">
        <w:r>
          <w:rPr>
            <w:color w:val="0000FF"/>
          </w:rPr>
          <w:t>п. 2 ст. 855</w:t>
        </w:r>
      </w:hyperlink>
      <w:r>
        <w:t xml:space="preserve"> ГК РФ, </w:t>
      </w:r>
      <w:hyperlink r:id="rId113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r>
        <w:t xml:space="preserve">В </w:t>
      </w:r>
      <w:hyperlink r:id="rId114">
        <w:r>
          <w:rPr>
            <w:color w:val="0000FF"/>
          </w:rPr>
          <w:t>поле 22</w:t>
        </w:r>
      </w:hyperlink>
      <w:r>
        <w:t xml:space="preserve"> укажите </w:t>
      </w:r>
      <w:hyperlink w:anchor="P101">
        <w:r>
          <w:rPr>
            <w:color w:val="0000FF"/>
          </w:rPr>
          <w:t>УИН</w:t>
        </w:r>
      </w:hyperlink>
      <w:r>
        <w:t>, если он вам известен.</w:t>
      </w:r>
    </w:p>
    <w:p w:rsidR="001807B3" w:rsidRDefault="001807B3">
      <w:pPr>
        <w:pStyle w:val="ConsPlusNormal"/>
        <w:spacing w:before="220"/>
        <w:jc w:val="both"/>
      </w:pPr>
      <w:r>
        <w:t xml:space="preserve">В </w:t>
      </w:r>
      <w:hyperlink r:id="rId115">
        <w:r>
          <w:rPr>
            <w:color w:val="0000FF"/>
          </w:rPr>
          <w:t>поле 104</w:t>
        </w:r>
      </w:hyperlink>
      <w:r>
        <w:t xml:space="preserve"> отразите КБК 182 01 06 12 01 01 0000 510 (</w:t>
      </w:r>
      <w:hyperlink r:id="rId116">
        <w:r>
          <w:rPr>
            <w:color w:val="0000FF"/>
          </w:rPr>
          <w:t>п. 33.5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 xml:space="preserve">В </w:t>
      </w:r>
      <w:hyperlink r:id="rId117">
        <w:r>
          <w:rPr>
            <w:b/>
            <w:color w:val="0000FF"/>
          </w:rPr>
          <w:t>поле 105</w:t>
        </w:r>
      </w:hyperlink>
      <w:r>
        <w:rPr>
          <w:b/>
        </w:rPr>
        <w:t xml:space="preserve"> "ОКТМО" платежного поручения</w:t>
      </w:r>
      <w:r>
        <w:t xml:space="preserve"> на перечисление ЕНП проставьте "0" (</w:t>
      </w:r>
      <w:hyperlink r:id="rId118">
        <w:r>
          <w:rPr>
            <w:color w:val="0000FF"/>
          </w:rPr>
          <w:t>п. 33.6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 xml:space="preserve">В </w:t>
      </w:r>
      <w:hyperlink r:id="rId119">
        <w:r>
          <w:rPr>
            <w:b/>
            <w:color w:val="0000FF"/>
          </w:rPr>
          <w:t>полях 106</w:t>
        </w:r>
      </w:hyperlink>
      <w:r>
        <w:rPr>
          <w:b/>
        </w:rPr>
        <w:t xml:space="preserve"> (основание платежа) - </w:t>
      </w:r>
      <w:hyperlink r:id="rId120">
        <w:r>
          <w:rPr>
            <w:b/>
            <w:color w:val="0000FF"/>
          </w:rPr>
          <w:t>109</w:t>
        </w:r>
      </w:hyperlink>
      <w:r>
        <w:rPr>
          <w:b/>
        </w:rPr>
        <w:t xml:space="preserve"> платежного поручения на уплату налогов</w:t>
      </w:r>
      <w:r>
        <w:t xml:space="preserve"> (страховых взносов, сборов) укажите "0" независимо от того, перечисляете платеж как ЕНП или нет (</w:t>
      </w:r>
      <w:hyperlink r:id="rId121">
        <w:r>
          <w:rPr>
            <w:color w:val="0000FF"/>
          </w:rPr>
          <w:t>п. п. 24</w:t>
        </w:r>
      </w:hyperlink>
      <w:r>
        <w:t xml:space="preserve">, </w:t>
      </w:r>
      <w:hyperlink r:id="rId122">
        <w:r>
          <w:rPr>
            <w:color w:val="0000FF"/>
          </w:rPr>
          <w:t>33.7</w:t>
        </w:r>
      </w:hyperlink>
      <w:r>
        <w:t xml:space="preserve">, </w:t>
      </w:r>
      <w:hyperlink r:id="rId123">
        <w:r>
          <w:rPr>
            <w:color w:val="0000FF"/>
          </w:rPr>
          <w:t>34.7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spacing w:before="220"/>
        <w:jc w:val="both"/>
      </w:pPr>
      <w:r>
        <w:t xml:space="preserve">В </w:t>
      </w:r>
      <w:hyperlink r:id="rId124">
        <w:r>
          <w:rPr>
            <w:color w:val="0000FF"/>
          </w:rPr>
          <w:t>поле 24</w:t>
        </w:r>
      </w:hyperlink>
      <w:r>
        <w:t xml:space="preserve"> напишите </w:t>
      </w:r>
      <w:hyperlink w:anchor="P109">
        <w:r>
          <w:rPr>
            <w:color w:val="0000FF"/>
          </w:rPr>
          <w:t>назначение платежа</w:t>
        </w:r>
      </w:hyperlink>
      <w:r>
        <w:t>.</w:t>
      </w:r>
    </w:p>
    <w:p w:rsidR="001807B3" w:rsidRDefault="001807B3">
      <w:pPr>
        <w:pStyle w:val="ConsPlusNormal"/>
        <w:spacing w:before="220"/>
        <w:jc w:val="both"/>
      </w:pPr>
      <w:hyperlink r:id="rId125">
        <w:r>
          <w:rPr>
            <w:b/>
            <w:color w:val="0000FF"/>
          </w:rPr>
          <w:t>Поле 110</w:t>
        </w:r>
      </w:hyperlink>
      <w:r>
        <w:rPr>
          <w:b/>
        </w:rPr>
        <w:t xml:space="preserve"> "Код выплат"</w:t>
      </w:r>
      <w:r>
        <w:t xml:space="preserve"> оставьте пустым (</w:t>
      </w:r>
      <w:hyperlink r:id="rId126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762-П).</w:t>
      </w:r>
    </w:p>
    <w:p w:rsidR="001807B3" w:rsidRDefault="001807B3">
      <w:pPr>
        <w:pStyle w:val="ConsPlusNormal"/>
        <w:spacing w:before="220"/>
        <w:jc w:val="both"/>
      </w:pPr>
      <w:hyperlink r:id="rId127">
        <w:r>
          <w:rPr>
            <w:color w:val="0000FF"/>
          </w:rPr>
          <w:t>Поля 19</w:t>
        </w:r>
      </w:hyperlink>
      <w:r>
        <w:t xml:space="preserve">, </w:t>
      </w:r>
      <w:hyperlink r:id="rId128">
        <w:r>
          <w:rPr>
            <w:color w:val="0000FF"/>
          </w:rPr>
          <w:t>20</w:t>
        </w:r>
      </w:hyperlink>
      <w:r>
        <w:t xml:space="preserve">, </w:t>
      </w:r>
      <w:hyperlink r:id="rId129">
        <w:r>
          <w:rPr>
            <w:color w:val="0000FF"/>
          </w:rPr>
          <w:t>23</w:t>
        </w:r>
      </w:hyperlink>
      <w:r>
        <w:t xml:space="preserve"> также не заполняйте (Приложение 1 к Положению Банка России от 29.06.2021 N 762-П).</w:t>
      </w: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2"/>
      </w:pPr>
      <w:bookmarkStart w:id="8" w:name="P101"/>
      <w:bookmarkEnd w:id="8"/>
      <w:r>
        <w:rPr>
          <w:b/>
        </w:rPr>
        <w:t xml:space="preserve">1.3.1. </w:t>
      </w:r>
      <w:proofErr w:type="gramStart"/>
      <w:r>
        <w:rPr>
          <w:b/>
        </w:rPr>
        <w:t>Какой</w:t>
      </w:r>
      <w:proofErr w:type="gramEnd"/>
      <w:r>
        <w:rPr>
          <w:b/>
        </w:rPr>
        <w:t xml:space="preserve"> УИН указать в платежном поручении на уплату налогов, страховых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t xml:space="preserve">В </w:t>
      </w:r>
      <w:hyperlink r:id="rId130">
        <w:r>
          <w:rPr>
            <w:color w:val="0000FF"/>
          </w:rPr>
          <w:t>поле 22</w:t>
        </w:r>
      </w:hyperlink>
      <w:r>
        <w:t xml:space="preserve"> платежки укажите УИН (уникальный идентификатор начисления), если он вам известен. Он состоит из 20 или 25 знаков, и все они одновременно не могут иметь значение "0". Целесообразно использовать </w:t>
      </w:r>
      <w:hyperlink r:id="rId131">
        <w:r>
          <w:rPr>
            <w:color w:val="0000FF"/>
          </w:rPr>
          <w:t>Правила</w:t>
        </w:r>
      </w:hyperlink>
      <w:r>
        <w:t xml:space="preserve"> проверки значения уникального идентификатора начисления. Проставьте "0" в этом </w:t>
      </w:r>
      <w:hyperlink r:id="rId132">
        <w:r>
          <w:rPr>
            <w:color w:val="0000FF"/>
          </w:rPr>
          <w:t>поле</w:t>
        </w:r>
      </w:hyperlink>
      <w:r>
        <w:t>, если данных об УИН нет (</w:t>
      </w:r>
      <w:hyperlink r:id="rId133">
        <w:r>
          <w:rPr>
            <w:color w:val="0000FF"/>
          </w:rPr>
          <w:t>п. 18</w:t>
        </w:r>
      </w:hyperlink>
      <w:r>
        <w:t xml:space="preserve"> Приложения N 1, </w:t>
      </w:r>
      <w:hyperlink r:id="rId134">
        <w:r>
          <w:rPr>
            <w:color w:val="0000FF"/>
          </w:rPr>
          <w:t>п. п. 9</w:t>
        </w:r>
      </w:hyperlink>
      <w:r>
        <w:t xml:space="preserve">, </w:t>
      </w:r>
      <w:hyperlink r:id="rId135">
        <w:r>
          <w:rPr>
            <w:color w:val="0000FF"/>
          </w:rPr>
          <w:t>33.11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4"/>
      </w:tblGrid>
      <w:tr w:rsidR="001807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1807B3" w:rsidRDefault="001807B3">
            <w:pPr>
              <w:pStyle w:val="ConsPlusNormal"/>
              <w:jc w:val="both"/>
            </w:pPr>
            <w:bookmarkStart w:id="9" w:name="P104"/>
            <w:bookmarkEnd w:id="9"/>
            <w:r>
              <w:rPr>
                <w:u w:val="single"/>
              </w:rPr>
              <w:t>Что такое УИН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>Уникальный идентификатор начисления (УИН) - это персональный код конкретного платежа, с помощью которого банковская система автоматически распознает его. Это исключает ошибки в реквизитах платежки.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 xml:space="preserve">УИН присваивает получатель платежа. Если у платежа есть УИН и он вам известен, то его нужно указать в </w:t>
            </w:r>
            <w:hyperlink r:id="rId136">
              <w:r>
                <w:rPr>
                  <w:color w:val="0000FF"/>
                </w:rPr>
                <w:t>поле 22</w:t>
              </w:r>
            </w:hyperlink>
            <w:r>
              <w:t xml:space="preserve"> "Код" платежки (</w:t>
            </w:r>
            <w:hyperlink r:id="rId137">
              <w:r>
                <w:rPr>
                  <w:color w:val="0000FF"/>
                </w:rPr>
                <w:t>п. 1.22</w:t>
              </w:r>
            </w:hyperlink>
            <w:r>
              <w:t xml:space="preserve"> Положения Банка России от 29.06.2021 N 762-П, </w:t>
            </w:r>
            <w:hyperlink r:id="rId138">
              <w:r>
                <w:rPr>
                  <w:color w:val="0000FF"/>
                </w:rPr>
                <w:t>Приложение 1</w:t>
              </w:r>
            </w:hyperlink>
            <w:r>
              <w:t xml:space="preserve"> к этому Положению).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>Обычно УИН указан в документах, на основании которых вы совершаете платеж.</w:t>
            </w:r>
          </w:p>
        </w:tc>
      </w:tr>
    </w:tbl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2"/>
      </w:pPr>
      <w:bookmarkStart w:id="10" w:name="P109"/>
      <w:bookmarkEnd w:id="10"/>
      <w:r>
        <w:rPr>
          <w:b/>
        </w:rPr>
        <w:t>1.3.2. Как заполнить поле 24 "Назначение платежа" в платежном поручении на уплату налогов, взносов и сборов посредством ЕНП</w:t>
      </w:r>
    </w:p>
    <w:p w:rsidR="001807B3" w:rsidRDefault="001807B3">
      <w:pPr>
        <w:pStyle w:val="ConsPlusNormal"/>
        <w:spacing w:before="220"/>
        <w:jc w:val="both"/>
      </w:pPr>
      <w:r>
        <w:t xml:space="preserve">В </w:t>
      </w:r>
      <w:hyperlink r:id="rId139">
        <w:r>
          <w:rPr>
            <w:color w:val="0000FF"/>
          </w:rPr>
          <w:t>поле 24</w:t>
        </w:r>
      </w:hyperlink>
      <w:r>
        <w:t xml:space="preserve"> укажите "ЕНП" (</w:t>
      </w:r>
      <w:hyperlink r:id="rId140">
        <w:r>
          <w:rPr>
            <w:color w:val="0000FF"/>
          </w:rPr>
          <w:t>п. 33.12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0"/>
      </w:pPr>
      <w:bookmarkStart w:id="11" w:name="P112"/>
      <w:bookmarkEnd w:id="11"/>
      <w:r>
        <w:rPr>
          <w:b/>
          <w:sz w:val="32"/>
        </w:rPr>
        <w:t>2. Особенности заполнения платежного поручения на перечисление налогов и сборов не в качестве ЕНП</w:t>
      </w:r>
    </w:p>
    <w:p w:rsidR="001807B3" w:rsidRDefault="001807B3">
      <w:pPr>
        <w:pStyle w:val="ConsPlusNormal"/>
        <w:spacing w:before="220"/>
        <w:jc w:val="both"/>
      </w:pPr>
      <w:r>
        <w:t>Ряд платежей перечисляются не как ЕНП. К ним относятся, например (</w:t>
      </w:r>
      <w:hyperlink r:id="rId141">
        <w:r>
          <w:rPr>
            <w:color w:val="0000FF"/>
          </w:rPr>
          <w:t>п. 1 ст. 58</w:t>
        </w:r>
      </w:hyperlink>
      <w:r>
        <w:t xml:space="preserve"> НК РФ):</w:t>
      </w:r>
    </w:p>
    <w:p w:rsidR="001807B3" w:rsidRDefault="001807B3">
      <w:pPr>
        <w:pStyle w:val="ConsPlusNormal"/>
        <w:numPr>
          <w:ilvl w:val="0"/>
          <w:numId w:val="8"/>
        </w:numPr>
        <w:spacing w:before="220"/>
        <w:jc w:val="both"/>
      </w:pPr>
      <w:r>
        <w:t>фиксированный авансовый платеж по НДФЛ с иностранцев, работающих по патенту;</w:t>
      </w:r>
    </w:p>
    <w:p w:rsidR="001807B3" w:rsidRDefault="001807B3">
      <w:pPr>
        <w:pStyle w:val="ConsPlusNormal"/>
        <w:numPr>
          <w:ilvl w:val="0"/>
          <w:numId w:val="8"/>
        </w:numPr>
        <w:spacing w:before="220"/>
        <w:jc w:val="both"/>
      </w:pPr>
      <w:r>
        <w:t>госпошлина (кроме госпошлины, в отношении которой арбитражный суд выдал исполнительный документ);</w:t>
      </w:r>
    </w:p>
    <w:p w:rsidR="001807B3" w:rsidRDefault="001807B3">
      <w:pPr>
        <w:pStyle w:val="ConsPlusNormal"/>
        <w:numPr>
          <w:ilvl w:val="0"/>
          <w:numId w:val="8"/>
        </w:numPr>
        <w:spacing w:before="220"/>
        <w:jc w:val="both"/>
      </w:pPr>
      <w:r>
        <w:t xml:space="preserve">НПД и сборы за пользование объектами животного мира и водных биоресурсов. Из </w:t>
      </w:r>
      <w:hyperlink r:id="rId142">
        <w:r>
          <w:rPr>
            <w:color w:val="0000FF"/>
          </w:rPr>
          <w:t>Письма</w:t>
        </w:r>
      </w:hyperlink>
      <w:r>
        <w:t xml:space="preserve"> ФНС России от 30.12.2022 N 8-8-02/0048@ следует, что перечислять эти платежи надо всегда на отдельные КБК и лишь погашать задолженность по ним можно как посредством ЕНП, так и на </w:t>
      </w:r>
      <w:proofErr w:type="gramStart"/>
      <w:r>
        <w:t>отдельный</w:t>
      </w:r>
      <w:proofErr w:type="gramEnd"/>
      <w:r>
        <w:t xml:space="preserve"> КБК. Рекомендуем при необходимости уточнить в вашей инспекции, можно ли платить указанные налог и сборы посредством ЕНП;</w:t>
      </w:r>
    </w:p>
    <w:p w:rsidR="001807B3" w:rsidRDefault="001807B3">
      <w:pPr>
        <w:pStyle w:val="ConsPlusNormal"/>
        <w:numPr>
          <w:ilvl w:val="0"/>
          <w:numId w:val="8"/>
        </w:numPr>
        <w:spacing w:before="220"/>
        <w:jc w:val="both"/>
      </w:pPr>
      <w:r>
        <w:t xml:space="preserve">взносы на дополнительное социальное обеспечение членов летных экипажей воздушных судов гражданской авиации, а также отдельных категорий работников организаций угольной промышленности. </w:t>
      </w:r>
      <w:hyperlink r:id="rId143">
        <w:r>
          <w:rPr>
            <w:color w:val="0000FF"/>
          </w:rPr>
          <w:t>Реквизиты</w:t>
        </w:r>
      </w:hyperlink>
      <w:r>
        <w:t xml:space="preserve"> для их уплаты приведены в Приложении к Письму ФНС России от 18.12.2024 N БС-4-11/14309@. Но учитывайте, что после выхода этого </w:t>
      </w:r>
      <w:hyperlink r:id="rId144">
        <w:r>
          <w:rPr>
            <w:color w:val="0000FF"/>
          </w:rPr>
          <w:t>Письма</w:t>
        </w:r>
      </w:hyperlink>
      <w:r>
        <w:t xml:space="preserve"> изменились КПП получателя и наименование банка получателя. </w:t>
      </w:r>
      <w:hyperlink r:id="rId145">
        <w:r>
          <w:rPr>
            <w:color w:val="0000FF"/>
          </w:rPr>
          <w:t>Актуальные реквизиты</w:t>
        </w:r>
      </w:hyperlink>
      <w:r>
        <w:t xml:space="preserve"> получателя представлены ФНС России.</w:t>
      </w:r>
    </w:p>
    <w:p w:rsidR="001807B3" w:rsidRDefault="001807B3">
      <w:pPr>
        <w:pStyle w:val="ConsPlusNormal"/>
        <w:spacing w:before="220"/>
        <w:jc w:val="both"/>
      </w:pPr>
      <w:r>
        <w:rPr>
          <w:b/>
        </w:rPr>
        <w:t>Платежное поручение на перечисление платежей в налоговый орган не в качестве ЕНП</w:t>
      </w:r>
      <w:r>
        <w:t xml:space="preserve"> заполняется </w:t>
      </w:r>
      <w:hyperlink w:anchor="P15">
        <w:r>
          <w:rPr>
            <w:color w:val="0000FF"/>
          </w:rPr>
          <w:t>так же</w:t>
        </w:r>
      </w:hyperlink>
      <w:r>
        <w:t>, как и платежка на ЕНП, с учетом следующих особенностей:</w:t>
      </w:r>
    </w:p>
    <w:p w:rsidR="001807B3" w:rsidRDefault="001807B3">
      <w:pPr>
        <w:pStyle w:val="ConsPlusNormal"/>
        <w:numPr>
          <w:ilvl w:val="0"/>
          <w:numId w:val="9"/>
        </w:numPr>
        <w:spacing w:before="220"/>
        <w:jc w:val="both"/>
      </w:pPr>
      <w:r>
        <w:t xml:space="preserve">в </w:t>
      </w:r>
      <w:hyperlink r:id="rId146">
        <w:r>
          <w:rPr>
            <w:color w:val="0000FF"/>
          </w:rPr>
          <w:t>поле 102</w:t>
        </w:r>
      </w:hyperlink>
      <w:r>
        <w:t xml:space="preserve"> отразите КПП организации согласно документам о постановке на учет. Если вы ИП, укажите в этом </w:t>
      </w:r>
      <w:hyperlink r:id="rId147">
        <w:r>
          <w:rPr>
            <w:color w:val="0000FF"/>
          </w:rPr>
          <w:t>поле</w:t>
        </w:r>
      </w:hyperlink>
      <w:r>
        <w:t xml:space="preserve"> "0" (</w:t>
      </w:r>
      <w:hyperlink r:id="rId148">
        <w:r>
          <w:rPr>
            <w:color w:val="0000FF"/>
          </w:rPr>
          <w:t>п. 3</w:t>
        </w:r>
      </w:hyperlink>
      <w:r>
        <w:t xml:space="preserve"> Приложения N 1, </w:t>
      </w:r>
      <w:hyperlink r:id="rId149">
        <w:r>
          <w:rPr>
            <w:color w:val="0000FF"/>
          </w:rPr>
          <w:t>п. 34.2</w:t>
        </w:r>
      </w:hyperlink>
      <w:r>
        <w:t xml:space="preserve"> Приложения N 2 к Приказу Минфина России от 16.05.2025 N 58н);</w:t>
      </w:r>
    </w:p>
    <w:p w:rsidR="001807B3" w:rsidRDefault="001807B3">
      <w:pPr>
        <w:pStyle w:val="ConsPlusNormal"/>
        <w:numPr>
          <w:ilvl w:val="0"/>
          <w:numId w:val="9"/>
        </w:numPr>
        <w:spacing w:before="220"/>
        <w:jc w:val="both"/>
      </w:pPr>
      <w:r>
        <w:t xml:space="preserve">в </w:t>
      </w:r>
      <w:hyperlink r:id="rId150">
        <w:r>
          <w:rPr>
            <w:color w:val="0000FF"/>
          </w:rPr>
          <w:t>поле 104</w:t>
        </w:r>
      </w:hyperlink>
      <w:r>
        <w:t xml:space="preserve"> укажите соответствующий КБК (</w:t>
      </w:r>
      <w:hyperlink r:id="rId151">
        <w:r>
          <w:rPr>
            <w:color w:val="0000FF"/>
          </w:rPr>
          <w:t>п. 34.5</w:t>
        </w:r>
      </w:hyperlink>
      <w:r>
        <w:t xml:space="preserve"> Приложения N 2 к Приказу Минфина России от 16.05.2025 N 58н);</w:t>
      </w:r>
    </w:p>
    <w:p w:rsidR="001807B3" w:rsidRDefault="001807B3">
      <w:pPr>
        <w:pStyle w:val="ConsPlusNormal"/>
        <w:numPr>
          <w:ilvl w:val="0"/>
          <w:numId w:val="9"/>
        </w:numPr>
        <w:spacing w:before="220"/>
        <w:jc w:val="both"/>
      </w:pPr>
      <w:r>
        <w:lastRenderedPageBreak/>
        <w:t xml:space="preserve">в </w:t>
      </w:r>
      <w:hyperlink r:id="rId152">
        <w:r>
          <w:rPr>
            <w:color w:val="0000FF"/>
          </w:rPr>
          <w:t>поле 105</w:t>
        </w:r>
      </w:hyperlink>
      <w:r>
        <w:t xml:space="preserve"> отразите восьмизначный код </w:t>
      </w:r>
      <w:hyperlink r:id="rId153">
        <w:r>
          <w:rPr>
            <w:color w:val="0000FF"/>
          </w:rPr>
          <w:t>ОКТМО</w:t>
        </w:r>
      </w:hyperlink>
      <w:r>
        <w:t xml:space="preserve"> (</w:t>
      </w:r>
      <w:hyperlink r:id="rId154">
        <w:r>
          <w:rPr>
            <w:color w:val="0000FF"/>
          </w:rPr>
          <w:t>п. 34.6</w:t>
        </w:r>
      </w:hyperlink>
      <w:r>
        <w:t xml:space="preserve"> Приложения N 2 к Приказу Минфина России от 16.05.2025 N 58н).</w:t>
      </w:r>
    </w:p>
    <w:p w:rsidR="001807B3" w:rsidRDefault="001807B3">
      <w:pPr>
        <w:pStyle w:val="ConsPlusNormal"/>
        <w:spacing w:before="220"/>
        <w:ind w:left="540"/>
        <w:jc w:val="both"/>
      </w:pPr>
      <w:r>
        <w:rPr>
          <w:b/>
        </w:rPr>
        <w:t xml:space="preserve">Код </w:t>
      </w:r>
      <w:hyperlink r:id="rId155">
        <w:r>
          <w:rPr>
            <w:b/>
            <w:color w:val="0000FF"/>
          </w:rPr>
          <w:t>ОКТМО</w:t>
        </w:r>
      </w:hyperlink>
      <w:r>
        <w:rPr>
          <w:b/>
        </w:rPr>
        <w:t xml:space="preserve"> по адресу</w:t>
      </w:r>
      <w:r>
        <w:t xml:space="preserve"> можно уточнить в налоговом органе по месту учета, а также на сайте ФНС России - </w:t>
      </w:r>
      <w:hyperlink r:id="rId156">
        <w:r>
          <w:rPr>
            <w:color w:val="0000FF"/>
          </w:rPr>
          <w:t>https://www.nalog.gov.ru</w:t>
        </w:r>
      </w:hyperlink>
      <w:r>
        <w:t>;</w:t>
      </w:r>
    </w:p>
    <w:p w:rsidR="001807B3" w:rsidRDefault="001807B3">
      <w:pPr>
        <w:pStyle w:val="ConsPlusNormal"/>
        <w:numPr>
          <w:ilvl w:val="0"/>
          <w:numId w:val="9"/>
        </w:numPr>
        <w:spacing w:before="220"/>
        <w:jc w:val="both"/>
      </w:pPr>
      <w:r>
        <w:t xml:space="preserve">в </w:t>
      </w:r>
      <w:hyperlink r:id="rId157">
        <w:r>
          <w:rPr>
            <w:color w:val="0000FF"/>
          </w:rPr>
          <w:t>поле 24</w:t>
        </w:r>
      </w:hyperlink>
      <w:r>
        <w:t xml:space="preserve"> укажите информацию для идентификации назначения платежа.</w:t>
      </w:r>
    </w:p>
    <w:p w:rsidR="001807B3" w:rsidRDefault="001807B3">
      <w:pPr>
        <w:pStyle w:val="ConsPlusNormal"/>
        <w:spacing w:before="220"/>
        <w:jc w:val="both"/>
      </w:pPr>
      <w:r>
        <w:t xml:space="preserve">Реквизиты получателя и его банка укажите </w:t>
      </w:r>
      <w:hyperlink w:anchor="P72">
        <w:r>
          <w:rPr>
            <w:color w:val="0000FF"/>
          </w:rPr>
          <w:t>те же</w:t>
        </w:r>
      </w:hyperlink>
      <w:r>
        <w:t>, по которым уплачивается ЕНП (</w:t>
      </w:r>
      <w:hyperlink r:id="rId158">
        <w:r>
          <w:rPr>
            <w:color w:val="0000FF"/>
          </w:rPr>
          <w:t>п. п. 34.8</w:t>
        </w:r>
      </w:hyperlink>
      <w:r>
        <w:t xml:space="preserve"> - </w:t>
      </w:r>
      <w:hyperlink r:id="rId159">
        <w:r>
          <w:rPr>
            <w:color w:val="0000FF"/>
          </w:rPr>
          <w:t>34.10</w:t>
        </w:r>
      </w:hyperlink>
      <w:r>
        <w:t xml:space="preserve"> Приложения N 2 к Приказу Минфина России от 16.05.2025 N 58н). Налогоплательщики г. Байконур </w:t>
      </w:r>
      <w:hyperlink r:id="rId160">
        <w:r>
          <w:rPr>
            <w:color w:val="0000FF"/>
          </w:rPr>
          <w:t>перечисляют</w:t>
        </w:r>
      </w:hyperlink>
      <w:r>
        <w:t xml:space="preserve"> платежи, не входящие в ЕНП, но администрируемые налоговыми органами, также на счет, открытый Управлению Федерального казначейства по </w:t>
      </w:r>
      <w:proofErr w:type="gramStart"/>
      <w:r>
        <w:t>Тульской</w:t>
      </w:r>
      <w:proofErr w:type="gramEnd"/>
      <w:r>
        <w:t xml:space="preserve"> обл.</w:t>
      </w:r>
    </w:p>
    <w:p w:rsidR="001807B3" w:rsidRDefault="001807B3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4"/>
      </w:tblGrid>
      <w:tr w:rsidR="001807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1807B3" w:rsidRDefault="001807B3">
            <w:pPr>
              <w:pStyle w:val="ConsPlusNormal"/>
              <w:jc w:val="both"/>
            </w:pPr>
            <w:bookmarkStart w:id="12" w:name="P126"/>
            <w:bookmarkEnd w:id="12"/>
            <w:r>
              <w:rPr>
                <w:u w:val="single"/>
              </w:rPr>
              <w:t>Какие реквизиты получателя и банка получателя указываются в платежном поручении на уплату фиксированного авансового платежа по НДФЛ с иностранного гражданина, работающего по патенту</w:t>
            </w:r>
          </w:p>
          <w:p w:rsidR="001807B3" w:rsidRDefault="001807B3">
            <w:pPr>
              <w:pStyle w:val="ConsPlusNormal"/>
              <w:spacing w:before="220"/>
              <w:jc w:val="both"/>
            </w:pPr>
            <w:r>
              <w:t xml:space="preserve">При заполнении платежного поручения на уплату фиксированного авансового платежа по НДФЛ с иностранца, работающего по патенту, сведения о получателе и банке получателя отражайте по </w:t>
            </w:r>
            <w:hyperlink w:anchor="P112">
              <w:r>
                <w:rPr>
                  <w:color w:val="0000FF"/>
                </w:rPr>
                <w:t>общим правилам</w:t>
              </w:r>
            </w:hyperlink>
            <w:r>
              <w:t>.</w:t>
            </w:r>
          </w:p>
        </w:tc>
      </w:tr>
    </w:tbl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outlineLvl w:val="0"/>
      </w:pPr>
      <w:bookmarkStart w:id="13" w:name="P129"/>
      <w:bookmarkEnd w:id="13"/>
      <w:r>
        <w:rPr>
          <w:b/>
          <w:sz w:val="32"/>
        </w:rPr>
        <w:t>3. Как заполнить платежное поручение на уплату налогов, взносов и сборов за третье лицо</w:t>
      </w:r>
    </w:p>
    <w:p w:rsidR="001807B3" w:rsidRDefault="001807B3">
      <w:pPr>
        <w:pStyle w:val="ConsPlusNormal"/>
        <w:spacing w:before="220"/>
        <w:jc w:val="both"/>
      </w:pPr>
      <w:proofErr w:type="gramStart"/>
      <w:r>
        <w:t xml:space="preserve">Налоги (взносы, сборы) за третье лицо можно уплатить </w:t>
      </w:r>
      <w:hyperlink w:anchor="P15">
        <w:r>
          <w:rPr>
            <w:color w:val="0000FF"/>
          </w:rPr>
          <w:t>посредством ЕНП</w:t>
        </w:r>
      </w:hyperlink>
      <w:r>
        <w:t xml:space="preserve"> или отдельными платежками </w:t>
      </w:r>
      <w:hyperlink w:anchor="P112">
        <w:r>
          <w:rPr>
            <w:color w:val="0000FF"/>
          </w:rPr>
          <w:t>не в качестве ЕНП</w:t>
        </w:r>
      </w:hyperlink>
      <w:r>
        <w:t>. Заполните такие платежки так, как если бы перечисляли платеж за себя, но с учетом следующих особенностей (</w:t>
      </w:r>
      <w:hyperlink r:id="rId161">
        <w:r>
          <w:rPr>
            <w:color w:val="0000FF"/>
          </w:rPr>
          <w:t>п. п. 1</w:t>
        </w:r>
      </w:hyperlink>
      <w:r>
        <w:t xml:space="preserve">, </w:t>
      </w:r>
      <w:hyperlink r:id="rId162">
        <w:r>
          <w:rPr>
            <w:color w:val="0000FF"/>
          </w:rPr>
          <w:t>7</w:t>
        </w:r>
      </w:hyperlink>
      <w:r>
        <w:t xml:space="preserve"> - </w:t>
      </w:r>
      <w:hyperlink r:id="rId163">
        <w:r>
          <w:rPr>
            <w:color w:val="0000FF"/>
          </w:rPr>
          <w:t>9</w:t>
        </w:r>
      </w:hyperlink>
      <w:r>
        <w:t xml:space="preserve"> Приложения N 1, </w:t>
      </w:r>
      <w:hyperlink r:id="rId164">
        <w:r>
          <w:rPr>
            <w:color w:val="0000FF"/>
          </w:rPr>
          <w:t>п. п. 31</w:t>
        </w:r>
      </w:hyperlink>
      <w:r>
        <w:t xml:space="preserve">, </w:t>
      </w:r>
      <w:hyperlink r:id="rId165">
        <w:r>
          <w:rPr>
            <w:color w:val="0000FF"/>
          </w:rPr>
          <w:t>33.1</w:t>
        </w:r>
      </w:hyperlink>
      <w:r>
        <w:t xml:space="preserve"> - </w:t>
      </w:r>
      <w:hyperlink r:id="rId166">
        <w:r>
          <w:rPr>
            <w:color w:val="0000FF"/>
          </w:rPr>
          <w:t>33.3</w:t>
        </w:r>
      </w:hyperlink>
      <w:r>
        <w:t xml:space="preserve">, </w:t>
      </w:r>
      <w:hyperlink r:id="rId167">
        <w:r>
          <w:rPr>
            <w:color w:val="0000FF"/>
          </w:rPr>
          <w:t>33.12</w:t>
        </w:r>
      </w:hyperlink>
      <w:r>
        <w:t xml:space="preserve">, </w:t>
      </w:r>
      <w:hyperlink r:id="rId168">
        <w:r>
          <w:rPr>
            <w:color w:val="0000FF"/>
          </w:rPr>
          <w:t>34.1</w:t>
        </w:r>
      </w:hyperlink>
      <w:r>
        <w:t xml:space="preserve"> - </w:t>
      </w:r>
      <w:hyperlink r:id="rId169">
        <w:r>
          <w:rPr>
            <w:color w:val="0000FF"/>
          </w:rPr>
          <w:t>34.3</w:t>
        </w:r>
      </w:hyperlink>
      <w:r>
        <w:t xml:space="preserve">, </w:t>
      </w:r>
      <w:hyperlink r:id="rId170">
        <w:r>
          <w:rPr>
            <w:color w:val="0000FF"/>
          </w:rPr>
          <w:t>34.12</w:t>
        </w:r>
      </w:hyperlink>
      <w:r>
        <w:t xml:space="preserve"> Приложения N 2 к Приказу Минфина России от 16.05.2025 N</w:t>
      </w:r>
      <w:proofErr w:type="gramEnd"/>
      <w:r>
        <w:t xml:space="preserve"> </w:t>
      </w:r>
      <w:proofErr w:type="gramStart"/>
      <w:r>
        <w:t xml:space="preserve">58н, </w:t>
      </w:r>
      <w:hyperlink r:id="rId171">
        <w:r>
          <w:rPr>
            <w:color w:val="0000FF"/>
          </w:rPr>
          <w:t>Приложение 1</w:t>
        </w:r>
      </w:hyperlink>
      <w:r>
        <w:t xml:space="preserve"> к Положению Банка России от 29.06.2021 N 762-П):</w:t>
      </w:r>
      <w:proofErr w:type="gramEnd"/>
    </w:p>
    <w:p w:rsidR="001807B3" w:rsidRDefault="001807B3">
      <w:pPr>
        <w:pStyle w:val="ConsPlusNormal"/>
        <w:numPr>
          <w:ilvl w:val="0"/>
          <w:numId w:val="10"/>
        </w:numPr>
        <w:spacing w:before="220"/>
        <w:jc w:val="both"/>
      </w:pPr>
      <w:r>
        <w:t xml:space="preserve">в </w:t>
      </w:r>
      <w:hyperlink r:id="rId172">
        <w:r>
          <w:rPr>
            <w:color w:val="0000FF"/>
          </w:rPr>
          <w:t>поле 60</w:t>
        </w:r>
      </w:hyperlink>
      <w:r>
        <w:t xml:space="preserve"> отразите ИНН лица, за которое исполняете обязанность;</w:t>
      </w:r>
    </w:p>
    <w:p w:rsidR="001807B3" w:rsidRDefault="001807B3">
      <w:pPr>
        <w:pStyle w:val="ConsPlusNormal"/>
        <w:numPr>
          <w:ilvl w:val="0"/>
          <w:numId w:val="10"/>
        </w:numPr>
        <w:spacing w:before="220"/>
        <w:jc w:val="both"/>
      </w:pPr>
      <w:r>
        <w:t xml:space="preserve">в </w:t>
      </w:r>
      <w:hyperlink r:id="rId173">
        <w:r>
          <w:rPr>
            <w:color w:val="0000FF"/>
          </w:rPr>
          <w:t>поле 102</w:t>
        </w:r>
      </w:hyperlink>
      <w:r>
        <w:t xml:space="preserve"> отразите КПП, как если бы документ заполняло лицо, за которое перечисляете платеж;</w:t>
      </w:r>
    </w:p>
    <w:p w:rsidR="001807B3" w:rsidRDefault="001807B3">
      <w:pPr>
        <w:pStyle w:val="ConsPlusNormal"/>
        <w:numPr>
          <w:ilvl w:val="0"/>
          <w:numId w:val="10"/>
        </w:numPr>
        <w:spacing w:before="220"/>
        <w:jc w:val="both"/>
      </w:pPr>
      <w:r>
        <w:t xml:space="preserve">в </w:t>
      </w:r>
      <w:hyperlink r:id="rId174">
        <w:r>
          <w:rPr>
            <w:color w:val="0000FF"/>
          </w:rPr>
          <w:t>поле 8</w:t>
        </w:r>
      </w:hyperlink>
      <w:r>
        <w:t xml:space="preserve"> покажите свои данные (наименование организации, а для предпринимателя - Ф.И.О. и статус "ИП" в скобках);</w:t>
      </w:r>
    </w:p>
    <w:p w:rsidR="001807B3" w:rsidRDefault="001807B3">
      <w:pPr>
        <w:pStyle w:val="ConsPlusNormal"/>
        <w:numPr>
          <w:ilvl w:val="0"/>
          <w:numId w:val="10"/>
        </w:numPr>
        <w:spacing w:before="220"/>
        <w:jc w:val="both"/>
      </w:pPr>
      <w:r>
        <w:t xml:space="preserve">в </w:t>
      </w:r>
      <w:hyperlink r:id="rId175">
        <w:r>
          <w:rPr>
            <w:color w:val="0000FF"/>
          </w:rPr>
          <w:t>поле 24</w:t>
        </w:r>
      </w:hyperlink>
      <w:r>
        <w:t xml:space="preserve"> "Назначение платежа" приведите дополнительную информацию для идентификации платежа. Вы можете указать свои ИНН и КПП (если он есть) через знак "//", затем наименование организации или Ф.И.О. предпринимателя (с указанием "ИП" в скобках), за кого перечисляете налог. После этого через знак "//" указать назначение платежа. Например: "7727098760 // 772701001 // ООО "Бета" // ЕНП ".</w:t>
      </w:r>
    </w:p>
    <w:p w:rsidR="001807B3" w:rsidRDefault="001807B3">
      <w:pPr>
        <w:pStyle w:val="ConsPlusNormal"/>
        <w:spacing w:before="220"/>
        <w:jc w:val="both"/>
      </w:pPr>
      <w:r>
        <w:t>Данные для заполнения платежки уточните у лица, за которое платите налог.</w:t>
      </w: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jc w:val="both"/>
      </w:pPr>
    </w:p>
    <w:p w:rsidR="001807B3" w:rsidRDefault="001807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41F6" w:rsidRDefault="006041F6">
      <w:bookmarkStart w:id="14" w:name="_GoBack"/>
      <w:bookmarkEnd w:id="14"/>
    </w:p>
    <w:sectPr w:rsidR="006041F6" w:rsidSect="0058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63EC9"/>
    <w:multiLevelType w:val="multilevel"/>
    <w:tmpl w:val="C60EB05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F440DE"/>
    <w:multiLevelType w:val="multilevel"/>
    <w:tmpl w:val="8C5E827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3645A3"/>
    <w:multiLevelType w:val="multilevel"/>
    <w:tmpl w:val="646C181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2A5095"/>
    <w:multiLevelType w:val="multilevel"/>
    <w:tmpl w:val="3FD09FE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F75160"/>
    <w:multiLevelType w:val="multilevel"/>
    <w:tmpl w:val="3FE0EB2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AE6C35"/>
    <w:multiLevelType w:val="multilevel"/>
    <w:tmpl w:val="165401B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FD1586"/>
    <w:multiLevelType w:val="multilevel"/>
    <w:tmpl w:val="EC9487F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9D08BF"/>
    <w:multiLevelType w:val="multilevel"/>
    <w:tmpl w:val="8522E6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A66DE0"/>
    <w:multiLevelType w:val="multilevel"/>
    <w:tmpl w:val="0A9C86A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BF10F81"/>
    <w:multiLevelType w:val="multilevel"/>
    <w:tmpl w:val="16F6544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B3"/>
    <w:rsid w:val="001807B3"/>
    <w:rsid w:val="0060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7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807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7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807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PKBO&amp;n=65021" TargetMode="External"/><Relationship Id="rId117" Type="http://schemas.openxmlformats.org/officeDocument/2006/relationships/hyperlink" Target="https://login.consultant.ru/link/?req=doc&amp;base=LAW&amp;n=454573&amp;dst=100617" TargetMode="External"/><Relationship Id="rId21" Type="http://schemas.openxmlformats.org/officeDocument/2006/relationships/hyperlink" Target="https://login.consultant.ru/link/?req=doc&amp;base=LAW&amp;n=454573&amp;dst=100562" TargetMode="External"/><Relationship Id="rId42" Type="http://schemas.openxmlformats.org/officeDocument/2006/relationships/hyperlink" Target="https://login.consultant.ru/link/?req=doc&amp;base=LAW&amp;n=506200&amp;dst=100030" TargetMode="External"/><Relationship Id="rId47" Type="http://schemas.openxmlformats.org/officeDocument/2006/relationships/hyperlink" Target="https://login.consultant.ru/link/?req=doc&amp;base=LAW&amp;n=454573&amp;dst=100578" TargetMode="External"/><Relationship Id="rId63" Type="http://schemas.openxmlformats.org/officeDocument/2006/relationships/hyperlink" Target="https://login.consultant.ru/link/?req=doc&amp;base=LAW&amp;n=454573&amp;dst=100579" TargetMode="External"/><Relationship Id="rId68" Type="http://schemas.openxmlformats.org/officeDocument/2006/relationships/hyperlink" Target="https://login.consultant.ru/link/?req=doc&amp;base=LAW&amp;n=454573&amp;dst=100579" TargetMode="External"/><Relationship Id="rId84" Type="http://schemas.openxmlformats.org/officeDocument/2006/relationships/hyperlink" Target="https://login.consultant.ru/link/?req=doc&amp;base=QUEST&amp;n=215894&amp;dst=100012" TargetMode="External"/><Relationship Id="rId89" Type="http://schemas.openxmlformats.org/officeDocument/2006/relationships/hyperlink" Target="https://login.consultant.ru/link/?req=doc&amp;base=LAW&amp;n=454573&amp;dst=100598" TargetMode="External"/><Relationship Id="rId112" Type="http://schemas.openxmlformats.org/officeDocument/2006/relationships/hyperlink" Target="https://login.consultant.ru/link/?req=doc&amp;base=LAW&amp;n=508506&amp;dst=337" TargetMode="External"/><Relationship Id="rId133" Type="http://schemas.openxmlformats.org/officeDocument/2006/relationships/hyperlink" Target="https://login.consultant.ru/link/?req=doc&amp;base=LAW&amp;n=506200&amp;dst=100121" TargetMode="External"/><Relationship Id="rId138" Type="http://schemas.openxmlformats.org/officeDocument/2006/relationships/hyperlink" Target="https://login.consultant.ru/link/?req=doc&amp;base=LAW&amp;n=454573&amp;dst=100438" TargetMode="External"/><Relationship Id="rId154" Type="http://schemas.openxmlformats.org/officeDocument/2006/relationships/hyperlink" Target="https://login.consultant.ru/link/?req=doc&amp;base=LAW&amp;n=506200&amp;dst=100402" TargetMode="External"/><Relationship Id="rId159" Type="http://schemas.openxmlformats.org/officeDocument/2006/relationships/hyperlink" Target="https://login.consultant.ru/link/?req=doc&amp;base=LAW&amp;n=506200&amp;dst=100406" TargetMode="External"/><Relationship Id="rId175" Type="http://schemas.openxmlformats.org/officeDocument/2006/relationships/hyperlink" Target="https://login.consultant.ru/link/?req=doc&amp;base=LAW&amp;n=454573&amp;dst=100623" TargetMode="External"/><Relationship Id="rId170" Type="http://schemas.openxmlformats.org/officeDocument/2006/relationships/hyperlink" Target="https://login.consultant.ru/link/?req=doc&amp;base=LAW&amp;n=506200&amp;dst=100410" TargetMode="External"/><Relationship Id="rId16" Type="http://schemas.openxmlformats.org/officeDocument/2006/relationships/hyperlink" Target="https://login.consultant.ru/link/?req=doc&amp;base=LAW&amp;n=527104&amp;dst=649" TargetMode="External"/><Relationship Id="rId107" Type="http://schemas.openxmlformats.org/officeDocument/2006/relationships/hyperlink" Target="https://login.consultant.ru/link/?req=doc&amp;base=LAW&amp;n=454573&amp;dst=100581" TargetMode="External"/><Relationship Id="rId11" Type="http://schemas.openxmlformats.org/officeDocument/2006/relationships/hyperlink" Target="https://login.consultant.ru/link/?req=doc&amp;base=LAW&amp;n=454573&amp;dst=100361" TargetMode="External"/><Relationship Id="rId32" Type="http://schemas.openxmlformats.org/officeDocument/2006/relationships/hyperlink" Target="https://login.consultant.ru/link/?req=doc&amp;base=LAW&amp;n=454573&amp;dst=100578" TargetMode="External"/><Relationship Id="rId37" Type="http://schemas.openxmlformats.org/officeDocument/2006/relationships/hyperlink" Target="https://login.consultant.ru/link/?req=doc&amp;base=LAW&amp;n=506200&amp;dst=100320" TargetMode="External"/><Relationship Id="rId53" Type="http://schemas.openxmlformats.org/officeDocument/2006/relationships/hyperlink" Target="https://login.consultant.ru/link/?req=doc&amp;base=LAW&amp;n=454573&amp;dst=100361" TargetMode="External"/><Relationship Id="rId58" Type="http://schemas.openxmlformats.org/officeDocument/2006/relationships/hyperlink" Target="https://login.consultant.ru/link/?req=doc&amp;base=LAW&amp;n=454573&amp;dst=100591" TargetMode="External"/><Relationship Id="rId74" Type="http://schemas.openxmlformats.org/officeDocument/2006/relationships/hyperlink" Target="https://login.consultant.ru/link/?req=doc&amp;base=LAW&amp;n=454573&amp;dst=100579" TargetMode="External"/><Relationship Id="rId79" Type="http://schemas.openxmlformats.org/officeDocument/2006/relationships/hyperlink" Target="https://login.consultant.ru/link/?req=doc&amp;base=LAW&amp;n=517164" TargetMode="External"/><Relationship Id="rId102" Type="http://schemas.openxmlformats.org/officeDocument/2006/relationships/hyperlink" Target="https://login.consultant.ru/link/?req=doc&amp;base=LAW&amp;n=454573&amp;dst=100382" TargetMode="External"/><Relationship Id="rId123" Type="http://schemas.openxmlformats.org/officeDocument/2006/relationships/hyperlink" Target="https://login.consultant.ru/link/?req=doc&amp;base=LAW&amp;n=506200&amp;dst=100403" TargetMode="External"/><Relationship Id="rId128" Type="http://schemas.openxmlformats.org/officeDocument/2006/relationships/hyperlink" Target="https://login.consultant.ru/link/?req=doc&amp;base=LAW&amp;n=454573&amp;dst=100609" TargetMode="External"/><Relationship Id="rId144" Type="http://schemas.openxmlformats.org/officeDocument/2006/relationships/hyperlink" Target="https://login.consultant.ru/link/?req=doc&amp;base=LAW&amp;n=493803" TargetMode="External"/><Relationship Id="rId149" Type="http://schemas.openxmlformats.org/officeDocument/2006/relationships/hyperlink" Target="https://login.consultant.ru/link/?req=doc&amp;base=LAW&amp;n=506200&amp;dst=10037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login.consultant.ru/link/?req=doc&amp;base=LAW&amp;n=454573&amp;dst=100599" TargetMode="External"/><Relationship Id="rId95" Type="http://schemas.openxmlformats.org/officeDocument/2006/relationships/hyperlink" Target="https://login.consultant.ru/link/?req=doc&amp;base=LAW&amp;n=454573&amp;dst=100601" TargetMode="External"/><Relationship Id="rId160" Type="http://schemas.openxmlformats.org/officeDocument/2006/relationships/hyperlink" Target="https://login.consultant.ru/link/?req=doc&amp;base=LAW&amp;n=523651&amp;dst=100005" TargetMode="External"/><Relationship Id="rId165" Type="http://schemas.openxmlformats.org/officeDocument/2006/relationships/hyperlink" Target="https://login.consultant.ru/link/?req=doc&amp;base=LAW&amp;n=506200&amp;dst=100320" TargetMode="External"/><Relationship Id="rId22" Type="http://schemas.openxmlformats.org/officeDocument/2006/relationships/hyperlink" Target="https://login.consultant.ru/link/?req=doc&amp;base=LAW&amp;n=454573&amp;dst=100563" TargetMode="External"/><Relationship Id="rId27" Type="http://schemas.openxmlformats.org/officeDocument/2006/relationships/hyperlink" Target="https://login.consultant.ru/link/?req=doc&amp;base=PBI&amp;n=302987&amp;dst=100018" TargetMode="External"/><Relationship Id="rId43" Type="http://schemas.openxmlformats.org/officeDocument/2006/relationships/hyperlink" Target="https://login.consultant.ru/link/?req=doc&amp;base=LAW&amp;n=506200&amp;dst=100040" TargetMode="External"/><Relationship Id="rId48" Type="http://schemas.openxmlformats.org/officeDocument/2006/relationships/hyperlink" Target="https://login.consultant.ru/link/?req=doc&amp;base=LAW&amp;n=454573&amp;dst=100579" TargetMode="External"/><Relationship Id="rId64" Type="http://schemas.openxmlformats.org/officeDocument/2006/relationships/hyperlink" Target="https://login.consultant.ru/link/?req=doc&amp;base=LAW&amp;n=506200&amp;dst=100040" TargetMode="External"/><Relationship Id="rId69" Type="http://schemas.openxmlformats.org/officeDocument/2006/relationships/hyperlink" Target="https://login.consultant.ru/link/?req=doc&amp;base=LAW&amp;n=506200&amp;dst=100040" TargetMode="External"/><Relationship Id="rId113" Type="http://schemas.openxmlformats.org/officeDocument/2006/relationships/hyperlink" Target="https://login.consultant.ru/link/?req=doc&amp;base=LAW&amp;n=454573&amp;dst=100435" TargetMode="External"/><Relationship Id="rId118" Type="http://schemas.openxmlformats.org/officeDocument/2006/relationships/hyperlink" Target="https://login.consultant.ru/link/?req=doc&amp;base=LAW&amp;n=506200&amp;dst=100355" TargetMode="External"/><Relationship Id="rId134" Type="http://schemas.openxmlformats.org/officeDocument/2006/relationships/hyperlink" Target="https://login.consultant.ru/link/?req=doc&amp;base=LAW&amp;n=506200&amp;dst=100189" TargetMode="External"/><Relationship Id="rId139" Type="http://schemas.openxmlformats.org/officeDocument/2006/relationships/hyperlink" Target="https://login.consultant.ru/link/?req=doc&amp;base=LAW&amp;n=454573&amp;dst=100623" TargetMode="External"/><Relationship Id="rId80" Type="http://schemas.openxmlformats.org/officeDocument/2006/relationships/hyperlink" Target="https://login.consultant.ru/link/?req=doc&amp;base=LAW&amp;n=506200&amp;dst=100089" TargetMode="External"/><Relationship Id="rId85" Type="http://schemas.openxmlformats.org/officeDocument/2006/relationships/hyperlink" Target="https://login.consultant.ru/link/?req=doc&amp;base=LAW&amp;n=447436&amp;dst=100005" TargetMode="External"/><Relationship Id="rId150" Type="http://schemas.openxmlformats.org/officeDocument/2006/relationships/hyperlink" Target="https://login.consultant.ru/link/?req=doc&amp;base=LAW&amp;n=454573&amp;dst=100616" TargetMode="External"/><Relationship Id="rId155" Type="http://schemas.openxmlformats.org/officeDocument/2006/relationships/hyperlink" Target="https://login.consultant.ru/link/?req=doc&amp;base=LAW&amp;n=149911" TargetMode="External"/><Relationship Id="rId171" Type="http://schemas.openxmlformats.org/officeDocument/2006/relationships/hyperlink" Target="https://login.consultant.ru/link/?req=doc&amp;base=LAW&amp;n=454573&amp;dst=100391" TargetMode="External"/><Relationship Id="rId176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LAW&amp;n=454573&amp;dst=100570" TargetMode="External"/><Relationship Id="rId17" Type="http://schemas.openxmlformats.org/officeDocument/2006/relationships/hyperlink" Target="https://login.consultant.ru/link/?req=doc&amp;base=LAW&amp;n=454573&amp;dst=100468" TargetMode="External"/><Relationship Id="rId33" Type="http://schemas.openxmlformats.org/officeDocument/2006/relationships/hyperlink" Target="https://login.consultant.ru/link/?req=doc&amp;base=LAW&amp;n=454573&amp;dst=100573" TargetMode="External"/><Relationship Id="rId38" Type="http://schemas.openxmlformats.org/officeDocument/2006/relationships/hyperlink" Target="https://login.consultant.ru/link/?req=doc&amp;base=LAW&amp;n=506200&amp;dst=100335" TargetMode="External"/><Relationship Id="rId59" Type="http://schemas.openxmlformats.org/officeDocument/2006/relationships/hyperlink" Target="https://login.consultant.ru/link/?req=doc&amp;base=LAW&amp;n=506200&amp;dst=100055" TargetMode="External"/><Relationship Id="rId103" Type="http://schemas.openxmlformats.org/officeDocument/2006/relationships/hyperlink" Target="https://login.consultant.ru/link/?req=doc&amp;base=LAW&amp;n=454573&amp;dst=100577" TargetMode="External"/><Relationship Id="rId108" Type="http://schemas.openxmlformats.org/officeDocument/2006/relationships/hyperlink" Target="https://login.consultant.ru/link/?req=doc&amp;base=LAW&amp;n=454573&amp;dst=100388" TargetMode="External"/><Relationship Id="rId124" Type="http://schemas.openxmlformats.org/officeDocument/2006/relationships/hyperlink" Target="https://login.consultant.ru/link/?req=doc&amp;base=LAW&amp;n=454573&amp;dst=100623" TargetMode="External"/><Relationship Id="rId129" Type="http://schemas.openxmlformats.org/officeDocument/2006/relationships/hyperlink" Target="https://login.consultant.ru/link/?req=doc&amp;base=LAW&amp;n=454573&amp;dst=100615" TargetMode="External"/><Relationship Id="rId54" Type="http://schemas.openxmlformats.org/officeDocument/2006/relationships/hyperlink" Target="https://login.consultant.ru/link/?req=doc&amp;base=LAW&amp;n=454573&amp;dst=100584" TargetMode="External"/><Relationship Id="rId70" Type="http://schemas.openxmlformats.org/officeDocument/2006/relationships/hyperlink" Target="https://login.consultant.ru/link/?req=doc&amp;base=LAW&amp;n=506200&amp;dst=100331" TargetMode="External"/><Relationship Id="rId75" Type="http://schemas.openxmlformats.org/officeDocument/2006/relationships/hyperlink" Target="https://login.consultant.ru/link/?req=doc&amp;base=LAW&amp;n=506200&amp;dst=100331" TargetMode="External"/><Relationship Id="rId91" Type="http://schemas.openxmlformats.org/officeDocument/2006/relationships/hyperlink" Target="https://login.consultant.ru/link/?req=doc&amp;base=LAW&amp;n=454573&amp;dst=100592" TargetMode="External"/><Relationship Id="rId96" Type="http://schemas.openxmlformats.org/officeDocument/2006/relationships/hyperlink" Target="https://login.consultant.ru/link/?req=doc&amp;base=LAW&amp;n=495617&amp;dst=5712" TargetMode="External"/><Relationship Id="rId140" Type="http://schemas.openxmlformats.org/officeDocument/2006/relationships/hyperlink" Target="https://login.consultant.ru/link/?req=doc&amp;base=LAW&amp;n=506200&amp;dst=100363" TargetMode="External"/><Relationship Id="rId145" Type="http://schemas.openxmlformats.org/officeDocument/2006/relationships/hyperlink" Target="https://login.consultant.ru/link/?req=doc&amp;base=PBI&amp;n=355578" TargetMode="External"/><Relationship Id="rId161" Type="http://schemas.openxmlformats.org/officeDocument/2006/relationships/hyperlink" Target="https://login.consultant.ru/link/?req=doc&amp;base=LAW&amp;n=506200&amp;dst=100030" TargetMode="External"/><Relationship Id="rId166" Type="http://schemas.openxmlformats.org/officeDocument/2006/relationships/hyperlink" Target="https://login.consultant.ru/link/?req=doc&amp;base=LAW&amp;n=506200&amp;dst=10033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ultant.ru" TargetMode="External"/><Relationship Id="rId23" Type="http://schemas.openxmlformats.org/officeDocument/2006/relationships/hyperlink" Target="https://login.consultant.ru/link/?req=doc&amp;base=LAW&amp;n=495617" TargetMode="External"/><Relationship Id="rId28" Type="http://schemas.openxmlformats.org/officeDocument/2006/relationships/hyperlink" Target="https://login.consultant.ru/link/?req=doc&amp;base=PBI&amp;n=302985&amp;dst=100007" TargetMode="External"/><Relationship Id="rId49" Type="http://schemas.openxmlformats.org/officeDocument/2006/relationships/hyperlink" Target="https://login.consultant.ru/link/?req=doc&amp;base=LAW&amp;n=454573&amp;dst=100573" TargetMode="External"/><Relationship Id="rId114" Type="http://schemas.openxmlformats.org/officeDocument/2006/relationships/hyperlink" Target="https://login.consultant.ru/link/?req=doc&amp;base=LAW&amp;n=454573&amp;dst=100613" TargetMode="External"/><Relationship Id="rId119" Type="http://schemas.openxmlformats.org/officeDocument/2006/relationships/hyperlink" Target="https://login.consultant.ru/link/?req=doc&amp;base=LAW&amp;n=454573&amp;dst=100618" TargetMode="External"/><Relationship Id="rId10" Type="http://schemas.openxmlformats.org/officeDocument/2006/relationships/hyperlink" Target="https://login.consultant.ru/link/?req=doc&amp;base=LAW&amp;n=506200&amp;dst=100174" TargetMode="External"/><Relationship Id="rId31" Type="http://schemas.openxmlformats.org/officeDocument/2006/relationships/hyperlink" Target="https://login.consultant.ru/link/?req=doc&amp;base=LAW&amp;n=454573&amp;dst=100591" TargetMode="External"/><Relationship Id="rId44" Type="http://schemas.openxmlformats.org/officeDocument/2006/relationships/hyperlink" Target="https://login.consultant.ru/link/?req=doc&amp;base=LAW&amp;n=506200&amp;dst=100320" TargetMode="External"/><Relationship Id="rId52" Type="http://schemas.openxmlformats.org/officeDocument/2006/relationships/hyperlink" Target="https://login.consultant.ru/link/?req=doc&amp;base=LAW&amp;n=506200&amp;dst=100366" TargetMode="External"/><Relationship Id="rId60" Type="http://schemas.openxmlformats.org/officeDocument/2006/relationships/hyperlink" Target="https://login.consultant.ru/link/?req=doc&amp;base=LAW&amp;n=454573&amp;dst=100573" TargetMode="External"/><Relationship Id="rId65" Type="http://schemas.openxmlformats.org/officeDocument/2006/relationships/hyperlink" Target="https://login.consultant.ru/link/?req=doc&amp;base=LAW&amp;n=506200&amp;dst=100331" TargetMode="External"/><Relationship Id="rId73" Type="http://schemas.openxmlformats.org/officeDocument/2006/relationships/hyperlink" Target="https://login.consultant.ru/link/?req=doc&amp;base=LAW&amp;n=506200&amp;dst=100377" TargetMode="External"/><Relationship Id="rId78" Type="http://schemas.openxmlformats.org/officeDocument/2006/relationships/hyperlink" Target="https://login.consultant.ru/link/?req=doc&amp;base=PBI&amp;n=355578" TargetMode="External"/><Relationship Id="rId81" Type="http://schemas.openxmlformats.org/officeDocument/2006/relationships/hyperlink" Target="https://login.consultant.ru/link/?req=doc&amp;base=LAW&amp;n=506200&amp;dst=100099" TargetMode="External"/><Relationship Id="rId86" Type="http://schemas.openxmlformats.org/officeDocument/2006/relationships/hyperlink" Target="https://login.consultant.ru/link/?req=doc&amp;base=LAW&amp;n=517164&amp;dst=100088" TargetMode="External"/><Relationship Id="rId94" Type="http://schemas.openxmlformats.org/officeDocument/2006/relationships/hyperlink" Target="https://login.consultant.ru/link/?req=doc&amp;base=LAW&amp;n=454573&amp;dst=100597" TargetMode="External"/><Relationship Id="rId99" Type="http://schemas.openxmlformats.org/officeDocument/2006/relationships/hyperlink" Target="https://login.consultant.ru/link/?req=doc&amp;base=LAW&amp;n=454573&amp;dst=100361" TargetMode="External"/><Relationship Id="rId101" Type="http://schemas.openxmlformats.org/officeDocument/2006/relationships/hyperlink" Target="https://login.consultant.ru/link/?req=doc&amp;base=LAW&amp;n=454573&amp;dst=100572" TargetMode="External"/><Relationship Id="rId122" Type="http://schemas.openxmlformats.org/officeDocument/2006/relationships/hyperlink" Target="https://login.consultant.ru/link/?req=doc&amp;base=LAW&amp;n=506200&amp;dst=100356" TargetMode="External"/><Relationship Id="rId130" Type="http://schemas.openxmlformats.org/officeDocument/2006/relationships/hyperlink" Target="https://login.consultant.ru/link/?req=doc&amp;base=LAW&amp;n=454573&amp;dst=100613" TargetMode="External"/><Relationship Id="rId135" Type="http://schemas.openxmlformats.org/officeDocument/2006/relationships/hyperlink" Target="https://login.consultant.ru/link/?req=doc&amp;base=LAW&amp;n=506200&amp;dst=100362" TargetMode="External"/><Relationship Id="rId143" Type="http://schemas.openxmlformats.org/officeDocument/2006/relationships/hyperlink" Target="https://login.consultant.ru/link/?req=doc&amp;base=LAW&amp;n=493803&amp;dst=100011" TargetMode="External"/><Relationship Id="rId148" Type="http://schemas.openxmlformats.org/officeDocument/2006/relationships/hyperlink" Target="https://login.consultant.ru/link/?req=doc&amp;base=LAW&amp;n=506200&amp;dst=100040" TargetMode="External"/><Relationship Id="rId151" Type="http://schemas.openxmlformats.org/officeDocument/2006/relationships/hyperlink" Target="https://login.consultant.ru/link/?req=doc&amp;base=LAW&amp;n=506200&amp;dst=100400" TargetMode="External"/><Relationship Id="rId156" Type="http://schemas.openxmlformats.org/officeDocument/2006/relationships/hyperlink" Target="https://www.nalog.gov.ru" TargetMode="External"/><Relationship Id="rId164" Type="http://schemas.openxmlformats.org/officeDocument/2006/relationships/hyperlink" Target="https://login.consultant.ru/link/?req=doc&amp;base=LAW&amp;n=506200&amp;dst=100312" TargetMode="External"/><Relationship Id="rId169" Type="http://schemas.openxmlformats.org/officeDocument/2006/relationships/hyperlink" Target="https://login.consultant.ru/link/?req=doc&amp;base=LAW&amp;n=506200&amp;dst=100381" TargetMode="External"/><Relationship Id="rId177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6200&amp;dst=100023" TargetMode="External"/><Relationship Id="rId172" Type="http://schemas.openxmlformats.org/officeDocument/2006/relationships/hyperlink" Target="https://login.consultant.ru/link/?req=doc&amp;base=LAW&amp;n=454573&amp;dst=100578" TargetMode="External"/><Relationship Id="rId13" Type="http://schemas.openxmlformats.org/officeDocument/2006/relationships/hyperlink" Target="https://login.consultant.ru/link/?req=doc&amp;base=LAW&amp;n=454573&amp;dst=100571" TargetMode="External"/><Relationship Id="rId18" Type="http://schemas.openxmlformats.org/officeDocument/2006/relationships/hyperlink" Target="https://login.consultant.ru/link/?req=doc&amp;base=LAW&amp;n=454573&amp;dst=100628" TargetMode="External"/><Relationship Id="rId39" Type="http://schemas.openxmlformats.org/officeDocument/2006/relationships/hyperlink" Target="https://login.consultant.ru/link/?req=doc&amp;base=LAW&amp;n=454573&amp;dst=100582" TargetMode="External"/><Relationship Id="rId109" Type="http://schemas.openxmlformats.org/officeDocument/2006/relationships/hyperlink" Target="https://login.consultant.ru/link/?req=doc&amp;base=LAW&amp;n=454573&amp;dst=100604" TargetMode="External"/><Relationship Id="rId34" Type="http://schemas.openxmlformats.org/officeDocument/2006/relationships/hyperlink" Target="https://login.consultant.ru/link/?req=doc&amp;base=LAW&amp;n=454573&amp;dst=100579" TargetMode="External"/><Relationship Id="rId50" Type="http://schemas.openxmlformats.org/officeDocument/2006/relationships/hyperlink" Target="https://login.consultant.ru/link/?req=doc&amp;base=LAW&amp;n=506200&amp;dst=100055" TargetMode="External"/><Relationship Id="rId55" Type="http://schemas.openxmlformats.org/officeDocument/2006/relationships/hyperlink" Target="https://login.consultant.ru/link/?req=doc&amp;base=LAW&amp;n=454573&amp;dst=100586" TargetMode="External"/><Relationship Id="rId76" Type="http://schemas.openxmlformats.org/officeDocument/2006/relationships/hyperlink" Target="https://login.consultant.ru/link/?req=doc&amp;base=LAW&amp;n=523651&amp;dst=100005" TargetMode="External"/><Relationship Id="rId97" Type="http://schemas.openxmlformats.org/officeDocument/2006/relationships/hyperlink" Target="https://login.consultant.ru/link/?req=doc&amp;base=QUEST&amp;n=215894&amp;dst=100011" TargetMode="External"/><Relationship Id="rId104" Type="http://schemas.openxmlformats.org/officeDocument/2006/relationships/hyperlink" Target="https://login.consultant.ru/link/?req=doc&amp;base=LAW&amp;n=454573&amp;dst=100385" TargetMode="External"/><Relationship Id="rId120" Type="http://schemas.openxmlformats.org/officeDocument/2006/relationships/hyperlink" Target="https://login.consultant.ru/link/?req=doc&amp;base=LAW&amp;n=454573&amp;dst=100621" TargetMode="External"/><Relationship Id="rId125" Type="http://schemas.openxmlformats.org/officeDocument/2006/relationships/hyperlink" Target="https://login.consultant.ru/link/?req=doc&amp;base=LAW&amp;n=454573&amp;dst=100622" TargetMode="External"/><Relationship Id="rId141" Type="http://schemas.openxmlformats.org/officeDocument/2006/relationships/hyperlink" Target="https://login.consultant.ru/link/?req=doc&amp;base=LAW&amp;n=495617&amp;dst=5825" TargetMode="External"/><Relationship Id="rId146" Type="http://schemas.openxmlformats.org/officeDocument/2006/relationships/hyperlink" Target="https://login.consultant.ru/link/?req=doc&amp;base=LAW&amp;n=454573&amp;dst=100579" TargetMode="External"/><Relationship Id="rId167" Type="http://schemas.openxmlformats.org/officeDocument/2006/relationships/hyperlink" Target="https://login.consultant.ru/link/?req=doc&amp;base=LAW&amp;n=506200&amp;dst=100365" TargetMode="External"/><Relationship Id="rId7" Type="http://schemas.openxmlformats.org/officeDocument/2006/relationships/hyperlink" Target="https://login.consultant.ru/link/?req=doc&amp;base=PKBO&amp;n=55441" TargetMode="External"/><Relationship Id="rId71" Type="http://schemas.openxmlformats.org/officeDocument/2006/relationships/hyperlink" Target="https://login.consultant.ru/link/?req=doc&amp;base=LAW&amp;n=454573&amp;dst=100579" TargetMode="External"/><Relationship Id="rId92" Type="http://schemas.openxmlformats.org/officeDocument/2006/relationships/hyperlink" Target="https://login.consultant.ru/link/?req=doc&amp;base=LAW&amp;n=454573&amp;dst=100592" TargetMode="External"/><Relationship Id="rId162" Type="http://schemas.openxmlformats.org/officeDocument/2006/relationships/hyperlink" Target="https://login.consultant.ru/link/?req=doc&amp;base=LAW&amp;n=506200&amp;dst=100063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PBI&amp;n=346832" TargetMode="External"/><Relationship Id="rId24" Type="http://schemas.openxmlformats.org/officeDocument/2006/relationships/image" Target="media/image1.png"/><Relationship Id="rId40" Type="http://schemas.openxmlformats.org/officeDocument/2006/relationships/hyperlink" Target="https://login.consultant.ru/link/?req=doc&amp;base=LAW&amp;n=454573&amp;dst=100578" TargetMode="External"/><Relationship Id="rId45" Type="http://schemas.openxmlformats.org/officeDocument/2006/relationships/hyperlink" Target="https://login.consultant.ru/link/?req=doc&amp;base=LAW&amp;n=506200&amp;dst=100335" TargetMode="External"/><Relationship Id="rId66" Type="http://schemas.openxmlformats.org/officeDocument/2006/relationships/hyperlink" Target="https://login.consultant.ru/link/?req=doc&amp;base=LAW&amp;n=454573&amp;dst=100579" TargetMode="External"/><Relationship Id="rId87" Type="http://schemas.openxmlformats.org/officeDocument/2006/relationships/hyperlink" Target="https://login.consultant.ru/link/?req=doc&amp;base=PBI&amp;n=355578" TargetMode="External"/><Relationship Id="rId110" Type="http://schemas.openxmlformats.org/officeDocument/2006/relationships/hyperlink" Target="https://login.consultant.ru/link/?req=doc&amp;base=LAW&amp;n=454573&amp;dst=100426" TargetMode="External"/><Relationship Id="rId115" Type="http://schemas.openxmlformats.org/officeDocument/2006/relationships/hyperlink" Target="https://login.consultant.ru/link/?req=doc&amp;base=LAW&amp;n=454573&amp;dst=100616" TargetMode="External"/><Relationship Id="rId131" Type="http://schemas.openxmlformats.org/officeDocument/2006/relationships/hyperlink" Target="https://login.consultant.ru/link/?req=doc&amp;base=LAW&amp;n=451510&amp;dst=378" TargetMode="External"/><Relationship Id="rId136" Type="http://schemas.openxmlformats.org/officeDocument/2006/relationships/hyperlink" Target="https://login.consultant.ru/link/?req=doc&amp;base=LAW&amp;n=454573&amp;dst=100613" TargetMode="External"/><Relationship Id="rId157" Type="http://schemas.openxmlformats.org/officeDocument/2006/relationships/hyperlink" Target="https://login.consultant.ru/link/?req=doc&amp;base=LAW&amp;n=454573&amp;dst=100623" TargetMode="External"/><Relationship Id="rId61" Type="http://schemas.openxmlformats.org/officeDocument/2006/relationships/hyperlink" Target="https://login.consultant.ru/link/?req=doc&amp;base=LAW&amp;n=506200&amp;dst=100366" TargetMode="External"/><Relationship Id="rId82" Type="http://schemas.openxmlformats.org/officeDocument/2006/relationships/hyperlink" Target="https://login.consultant.ru/link/?req=doc&amp;base=LAW&amp;n=506200&amp;dst=100357" TargetMode="External"/><Relationship Id="rId152" Type="http://schemas.openxmlformats.org/officeDocument/2006/relationships/hyperlink" Target="https://login.consultant.ru/link/?req=doc&amp;base=LAW&amp;n=454573&amp;dst=100617" TargetMode="External"/><Relationship Id="rId173" Type="http://schemas.openxmlformats.org/officeDocument/2006/relationships/hyperlink" Target="https://login.consultant.ru/link/?req=doc&amp;base=LAW&amp;n=454573&amp;dst=100579" TargetMode="External"/><Relationship Id="rId19" Type="http://schemas.openxmlformats.org/officeDocument/2006/relationships/hyperlink" Target="https://login.consultant.ru/link/?req=doc&amp;base=LAW&amp;n=454573&amp;dst=100627" TargetMode="External"/><Relationship Id="rId14" Type="http://schemas.openxmlformats.org/officeDocument/2006/relationships/hyperlink" Target="https://login.consultant.ru/link/?req=doc&amp;base=PKBO&amp;n=31088" TargetMode="External"/><Relationship Id="rId30" Type="http://schemas.openxmlformats.org/officeDocument/2006/relationships/hyperlink" Target="https://login.consultant.ru/link/?req=doc&amp;base=LAW&amp;n=454573&amp;dst=100582" TargetMode="External"/><Relationship Id="rId35" Type="http://schemas.openxmlformats.org/officeDocument/2006/relationships/hyperlink" Target="https://login.consultant.ru/link/?req=doc&amp;base=LAW&amp;n=506200&amp;dst=100030" TargetMode="External"/><Relationship Id="rId56" Type="http://schemas.openxmlformats.org/officeDocument/2006/relationships/hyperlink" Target="https://login.consultant.ru/link/?req=doc&amp;base=LAW&amp;n=454573&amp;dst=100586" TargetMode="External"/><Relationship Id="rId77" Type="http://schemas.openxmlformats.org/officeDocument/2006/relationships/hyperlink" Target="https://login.consultant.ru/link/?req=doc&amp;base=LAW&amp;n=506200" TargetMode="External"/><Relationship Id="rId100" Type="http://schemas.openxmlformats.org/officeDocument/2006/relationships/hyperlink" Target="https://login.consultant.ru/link/?req=doc&amp;base=LAW&amp;n=454573&amp;dst=100572" TargetMode="External"/><Relationship Id="rId105" Type="http://schemas.openxmlformats.org/officeDocument/2006/relationships/hyperlink" Target="https://login.consultant.ru/link/?req=doc&amp;base=LAW&amp;n=454573&amp;dst=100581" TargetMode="External"/><Relationship Id="rId126" Type="http://schemas.openxmlformats.org/officeDocument/2006/relationships/hyperlink" Target="https://login.consultant.ru/link/?req=doc&amp;base=LAW&amp;n=454573&amp;dst=100465" TargetMode="External"/><Relationship Id="rId147" Type="http://schemas.openxmlformats.org/officeDocument/2006/relationships/hyperlink" Target="https://login.consultant.ru/link/?req=doc&amp;base=LAW&amp;n=454573&amp;dst=100579" TargetMode="External"/><Relationship Id="rId168" Type="http://schemas.openxmlformats.org/officeDocument/2006/relationships/hyperlink" Target="https://login.consultant.ru/link/?req=doc&amp;base=LAW&amp;n=506200&amp;dst=100368" TargetMode="External"/><Relationship Id="rId8" Type="http://schemas.openxmlformats.org/officeDocument/2006/relationships/hyperlink" Target="https://login.consultant.ru/link/?req=doc&amp;base=LAW&amp;n=149911" TargetMode="External"/><Relationship Id="rId51" Type="http://schemas.openxmlformats.org/officeDocument/2006/relationships/hyperlink" Target="https://login.consultant.ru/link/?req=doc&amp;base=LAW&amp;n=506200&amp;dst=100055" TargetMode="External"/><Relationship Id="rId72" Type="http://schemas.openxmlformats.org/officeDocument/2006/relationships/hyperlink" Target="https://login.consultant.ru/link/?req=doc&amp;base=LAW&amp;n=506200&amp;dst=100073" TargetMode="External"/><Relationship Id="rId93" Type="http://schemas.openxmlformats.org/officeDocument/2006/relationships/hyperlink" Target="https://login.consultant.ru/link/?req=doc&amp;base=LAW&amp;n=454573&amp;dst=100594" TargetMode="External"/><Relationship Id="rId98" Type="http://schemas.openxmlformats.org/officeDocument/2006/relationships/hyperlink" Target="https://login.consultant.ru/link/?req=doc&amp;base=LAW&amp;n=506200&amp;dst=100310" TargetMode="External"/><Relationship Id="rId121" Type="http://schemas.openxmlformats.org/officeDocument/2006/relationships/hyperlink" Target="https://login.consultant.ru/link/?req=doc&amp;base=LAW&amp;n=506200&amp;dst=100301" TargetMode="External"/><Relationship Id="rId142" Type="http://schemas.openxmlformats.org/officeDocument/2006/relationships/hyperlink" Target="https://login.consultant.ru/link/?req=doc&amp;base=LAW&amp;n=438413&amp;dst=100953" TargetMode="External"/><Relationship Id="rId163" Type="http://schemas.openxmlformats.org/officeDocument/2006/relationships/hyperlink" Target="https://login.consultant.ru/link/?req=doc&amp;base=LAW&amp;n=506200&amp;dst=100073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login.consultant.ru/link/?req=doc&amp;base=PKBO&amp;n=55441" TargetMode="External"/><Relationship Id="rId46" Type="http://schemas.openxmlformats.org/officeDocument/2006/relationships/hyperlink" Target="https://login.consultant.ru/link/?req=doc&amp;base=LAW&amp;n=454573&amp;dst=100582" TargetMode="External"/><Relationship Id="rId67" Type="http://schemas.openxmlformats.org/officeDocument/2006/relationships/hyperlink" Target="https://login.consultant.ru/link/?req=doc&amp;base=LAW&amp;n=506200&amp;dst=100040" TargetMode="External"/><Relationship Id="rId116" Type="http://schemas.openxmlformats.org/officeDocument/2006/relationships/hyperlink" Target="https://login.consultant.ru/link/?req=doc&amp;base=LAW&amp;n=506200&amp;dst=100353" TargetMode="External"/><Relationship Id="rId137" Type="http://schemas.openxmlformats.org/officeDocument/2006/relationships/hyperlink" Target="https://login.consultant.ru/link/?req=doc&amp;base=LAW&amp;n=454573&amp;dst=100073" TargetMode="External"/><Relationship Id="rId158" Type="http://schemas.openxmlformats.org/officeDocument/2006/relationships/hyperlink" Target="https://login.consultant.ru/link/?req=doc&amp;base=LAW&amp;n=506200&amp;dst=100404" TargetMode="External"/><Relationship Id="rId20" Type="http://schemas.openxmlformats.org/officeDocument/2006/relationships/hyperlink" Target="https://login.consultant.ru/link/?req=doc&amp;base=LAW&amp;n=454573&amp;dst=100629" TargetMode="External"/><Relationship Id="rId41" Type="http://schemas.openxmlformats.org/officeDocument/2006/relationships/hyperlink" Target="https://login.consultant.ru/link/?req=doc&amp;base=LAW&amp;n=454573&amp;dst=100579" TargetMode="External"/><Relationship Id="rId62" Type="http://schemas.openxmlformats.org/officeDocument/2006/relationships/hyperlink" Target="https://login.consultant.ru/link/?req=doc&amp;base=LAW&amp;n=506200&amp;dst=100412" TargetMode="External"/><Relationship Id="rId83" Type="http://schemas.openxmlformats.org/officeDocument/2006/relationships/hyperlink" Target="https://login.consultant.ru/link/?req=doc&amp;base=LAW&amp;n=506200&amp;dst=100359" TargetMode="External"/><Relationship Id="rId88" Type="http://schemas.openxmlformats.org/officeDocument/2006/relationships/hyperlink" Target="https://login.consultant.ru/link/?req=doc&amp;base=LAW&amp;n=454573&amp;dst=100602" TargetMode="External"/><Relationship Id="rId111" Type="http://schemas.openxmlformats.org/officeDocument/2006/relationships/hyperlink" Target="https://login.consultant.ru/link/?req=doc&amp;base=LAW&amp;n=454573&amp;dst=100611" TargetMode="External"/><Relationship Id="rId132" Type="http://schemas.openxmlformats.org/officeDocument/2006/relationships/hyperlink" Target="https://login.consultant.ru/link/?req=doc&amp;base=LAW&amp;n=454573&amp;dst=100613" TargetMode="External"/><Relationship Id="rId153" Type="http://schemas.openxmlformats.org/officeDocument/2006/relationships/hyperlink" Target="https://login.consultant.ru/link/?req=doc&amp;base=LAW&amp;n=149911" TargetMode="External"/><Relationship Id="rId174" Type="http://schemas.openxmlformats.org/officeDocument/2006/relationships/hyperlink" Target="https://login.consultant.ru/link/?req=doc&amp;base=LAW&amp;n=454573&amp;dst=100582" TargetMode="External"/><Relationship Id="rId15" Type="http://schemas.openxmlformats.org/officeDocument/2006/relationships/hyperlink" Target="https://login.consultant.ru/link/?req=doc&amp;base=LAW&amp;n=454573&amp;dst=100627" TargetMode="External"/><Relationship Id="rId36" Type="http://schemas.openxmlformats.org/officeDocument/2006/relationships/hyperlink" Target="https://login.consultant.ru/link/?req=doc&amp;base=LAW&amp;n=506200&amp;dst=100040" TargetMode="External"/><Relationship Id="rId57" Type="http://schemas.openxmlformats.org/officeDocument/2006/relationships/hyperlink" Target="https://login.consultant.ru/link/?req=doc&amp;base=LAW&amp;n=454573&amp;dst=100588" TargetMode="External"/><Relationship Id="rId106" Type="http://schemas.openxmlformats.org/officeDocument/2006/relationships/hyperlink" Target="https://login.consultant.ru/link/?req=doc&amp;base=LAW&amp;n=454573&amp;dst=100577" TargetMode="External"/><Relationship Id="rId127" Type="http://schemas.openxmlformats.org/officeDocument/2006/relationships/hyperlink" Target="https://login.consultant.ru/link/?req=doc&amp;base=LAW&amp;n=454573&amp;dst=1006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4719</Words>
  <Characters>26899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Лобачёва Елена Николаевна</dc:creator>
  <cp:lastModifiedBy>Лобачёва Елена Николаевна</cp:lastModifiedBy>
  <cp:revision>1</cp:revision>
  <dcterms:created xsi:type="dcterms:W3CDTF">2026-04-03T11:02:00Z</dcterms:created>
  <dcterms:modified xsi:type="dcterms:W3CDTF">2026-04-03T11:02:00Z</dcterms:modified>
</cp:coreProperties>
</file>